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BA" w:rsidRPr="004D7C37" w:rsidRDefault="00EE14BA" w:rsidP="004D7C37">
      <w:pPr>
        <w:pStyle w:val="ListParagraph0"/>
        <w:spacing w:after="0"/>
        <w:rPr>
          <w:sz w:val="2"/>
          <w:szCs w:val="2"/>
        </w:rPr>
      </w:pPr>
      <w:bookmarkStart w:id="0" w:name="_Toc346458180"/>
      <w:bookmarkStart w:id="1" w:name="_Toc354575927"/>
      <w:bookmarkStart w:id="2" w:name="_Toc357099227"/>
      <w:bookmarkStart w:id="3" w:name="_Toc314059834"/>
      <w:bookmarkStart w:id="4" w:name="_GoBack"/>
      <w:bookmarkEnd w:id="4"/>
    </w:p>
    <w:bookmarkEnd w:id="0"/>
    <w:bookmarkEnd w:id="1"/>
    <w:bookmarkEnd w:id="2"/>
    <w:bookmarkEnd w:id="3"/>
    <w:p w:rsidR="003E3A66" w:rsidRPr="003E3A66" w:rsidRDefault="003E3A66" w:rsidP="00AD2EDF">
      <w:pPr>
        <w:pStyle w:val="TOCHeading"/>
        <w:spacing w:before="0"/>
        <w:rPr>
          <w:sz w:val="18"/>
          <w:szCs w:val="18"/>
        </w:rPr>
      </w:pPr>
    </w:p>
    <w:p w:rsidR="003E3A66" w:rsidRPr="003E3A66" w:rsidRDefault="003E3A66" w:rsidP="00AD2EDF">
      <w:pPr>
        <w:pStyle w:val="TOCHeading"/>
        <w:spacing w:before="0"/>
        <w:rPr>
          <w:sz w:val="18"/>
          <w:szCs w:val="18"/>
        </w:rPr>
      </w:pPr>
    </w:p>
    <w:p w:rsidR="003E3A66" w:rsidRPr="003E3A66" w:rsidRDefault="003E3A66" w:rsidP="00AD2EDF">
      <w:pPr>
        <w:pStyle w:val="TOCHeading"/>
        <w:spacing w:before="0"/>
        <w:rPr>
          <w:sz w:val="18"/>
          <w:szCs w:val="18"/>
        </w:rPr>
      </w:pPr>
    </w:p>
    <w:p w:rsidR="003E3A66" w:rsidRDefault="003E3A66" w:rsidP="00AD2EDF">
      <w:pPr>
        <w:pStyle w:val="TOCHeading"/>
        <w:spacing w:before="0"/>
        <w:rPr>
          <w:sz w:val="18"/>
          <w:szCs w:val="18"/>
        </w:rPr>
      </w:pPr>
    </w:p>
    <w:p w:rsidR="00E55F5B" w:rsidRDefault="00E55F5B" w:rsidP="00E55F5B"/>
    <w:p w:rsidR="00E55F5B" w:rsidRDefault="00E55F5B" w:rsidP="00E55F5B"/>
    <w:p w:rsidR="00E55F5B" w:rsidRPr="00E55F5B" w:rsidRDefault="00E55F5B" w:rsidP="00E55F5B"/>
    <w:p w:rsidR="003E3A66" w:rsidRPr="003E3A66" w:rsidRDefault="003E3A66" w:rsidP="00AD2EDF">
      <w:pPr>
        <w:pStyle w:val="TOCHeading"/>
        <w:spacing w:before="0"/>
        <w:rPr>
          <w:sz w:val="18"/>
          <w:szCs w:val="18"/>
        </w:rPr>
      </w:pPr>
    </w:p>
    <w:p w:rsidR="003E3A66" w:rsidRDefault="003E3A66" w:rsidP="00E55F5B">
      <w:pPr>
        <w:spacing w:line="241" w:lineRule="auto"/>
        <w:ind w:left="370" w:right="861"/>
        <w:jc w:val="center"/>
        <w:rPr>
          <w:b/>
          <w:sz w:val="56"/>
        </w:rPr>
      </w:pPr>
      <w:r>
        <w:rPr>
          <w:b/>
          <w:sz w:val="56"/>
        </w:rPr>
        <w:t>Pioneer State High School</w:t>
      </w:r>
    </w:p>
    <w:p w:rsidR="003E3A66" w:rsidRDefault="003E3A66" w:rsidP="00E55F5B">
      <w:pPr>
        <w:spacing w:line="241" w:lineRule="auto"/>
        <w:ind w:left="370" w:right="861"/>
        <w:jc w:val="center"/>
        <w:rPr>
          <w:b/>
          <w:sz w:val="56"/>
        </w:rPr>
      </w:pPr>
    </w:p>
    <w:p w:rsidR="003E3A66" w:rsidRDefault="005547D2" w:rsidP="00E55F5B">
      <w:pPr>
        <w:spacing w:line="241" w:lineRule="auto"/>
        <w:ind w:left="370" w:right="861"/>
        <w:jc w:val="center"/>
        <w:rPr>
          <w:b/>
          <w:sz w:val="56"/>
        </w:rPr>
      </w:pPr>
      <w:r>
        <w:rPr>
          <w:b/>
          <w:sz w:val="56"/>
        </w:rPr>
        <w:t>2020 Senior Subject G</w:t>
      </w:r>
      <w:r w:rsidR="003E3A66">
        <w:rPr>
          <w:b/>
          <w:sz w:val="56"/>
        </w:rPr>
        <w:t>uide</w:t>
      </w:r>
    </w:p>
    <w:p w:rsidR="00E55F5B" w:rsidRDefault="00E55F5B" w:rsidP="00E55F5B">
      <w:pPr>
        <w:spacing w:line="241" w:lineRule="auto"/>
        <w:ind w:left="370" w:right="861"/>
        <w:jc w:val="center"/>
        <w:rPr>
          <w:b/>
          <w:sz w:val="56"/>
        </w:rPr>
      </w:pPr>
    </w:p>
    <w:p w:rsidR="00541ADA" w:rsidRDefault="00541ADA" w:rsidP="00E55F5B">
      <w:pPr>
        <w:spacing w:line="241" w:lineRule="auto"/>
        <w:ind w:left="370" w:right="861"/>
        <w:jc w:val="center"/>
        <w:rPr>
          <w:b/>
          <w:sz w:val="56"/>
        </w:rPr>
      </w:pPr>
    </w:p>
    <w:p w:rsidR="00E55F5B" w:rsidRDefault="00E55F5B" w:rsidP="00E55F5B">
      <w:pPr>
        <w:spacing w:line="241" w:lineRule="auto"/>
        <w:ind w:left="370" w:right="861"/>
        <w:jc w:val="center"/>
      </w:pPr>
      <w:r>
        <w:rPr>
          <w:noProof/>
          <w:lang w:eastAsia="zh-TW"/>
        </w:rPr>
        <w:drawing>
          <wp:inline distT="0" distB="0" distL="0" distR="0">
            <wp:extent cx="2496000"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oneer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4472" cy="2003800"/>
                    </a:xfrm>
                    <a:prstGeom prst="rect">
                      <a:avLst/>
                    </a:prstGeom>
                  </pic:spPr>
                </pic:pic>
              </a:graphicData>
            </a:graphic>
          </wp:inline>
        </w:drawing>
      </w:r>
    </w:p>
    <w:p w:rsidR="003E3A66" w:rsidRPr="003E3A66" w:rsidRDefault="003E3A66" w:rsidP="00AD2EDF">
      <w:pPr>
        <w:pStyle w:val="TOCHeading"/>
        <w:spacing w:before="0"/>
        <w:rPr>
          <w:sz w:val="18"/>
          <w:szCs w:val="18"/>
        </w:rPr>
      </w:pPr>
    </w:p>
    <w:p w:rsidR="003E3A66" w:rsidRPr="003E3A66" w:rsidRDefault="003E3A66" w:rsidP="00AD2EDF">
      <w:pPr>
        <w:pStyle w:val="TOCHeading"/>
        <w:spacing w:before="0"/>
        <w:rPr>
          <w:sz w:val="18"/>
          <w:szCs w:val="18"/>
        </w:rPr>
      </w:pPr>
    </w:p>
    <w:p w:rsidR="003E3A66" w:rsidRPr="003E3A66" w:rsidRDefault="003E3A66" w:rsidP="00AD2EDF">
      <w:pPr>
        <w:pStyle w:val="TOCHeading"/>
        <w:spacing w:before="0"/>
        <w:rPr>
          <w:sz w:val="18"/>
          <w:szCs w:val="18"/>
        </w:rPr>
      </w:pPr>
    </w:p>
    <w:p w:rsidR="003E3A66" w:rsidRPr="003E3A66" w:rsidRDefault="003E3A66" w:rsidP="00AD2EDF">
      <w:pPr>
        <w:pStyle w:val="TOCHeading"/>
        <w:spacing w:before="0"/>
        <w:rPr>
          <w:sz w:val="18"/>
          <w:szCs w:val="18"/>
        </w:rPr>
      </w:pPr>
    </w:p>
    <w:p w:rsidR="005A4315" w:rsidRDefault="005A4315">
      <w:pPr>
        <w:rPr>
          <w:rFonts w:cs="Tahoma"/>
          <w:b/>
          <w:bCs/>
          <w:sz w:val="16"/>
          <w:szCs w:val="16"/>
        </w:rPr>
      </w:pPr>
      <w:r>
        <w:rPr>
          <w:sz w:val="16"/>
          <w:szCs w:val="16"/>
        </w:rPr>
        <w:br w:type="page"/>
      </w:r>
    </w:p>
    <w:p w:rsidR="005A4315" w:rsidRDefault="0095689C">
      <w:pPr>
        <w:pStyle w:val="TOC1"/>
        <w:rPr>
          <w:rFonts w:eastAsiaTheme="minorEastAsia" w:cstheme="minorBidi"/>
          <w:b w:val="0"/>
          <w:color w:val="auto"/>
          <w:sz w:val="22"/>
          <w:szCs w:val="22"/>
          <w:lang w:eastAsia="zh-TW"/>
        </w:rPr>
      </w:pPr>
      <w:r>
        <w:rPr>
          <w:sz w:val="16"/>
          <w:szCs w:val="16"/>
        </w:rPr>
        <w:lastRenderedPageBreak/>
        <w:fldChar w:fldCharType="begin"/>
      </w:r>
      <w:r>
        <w:rPr>
          <w:sz w:val="16"/>
          <w:szCs w:val="16"/>
        </w:rPr>
        <w:instrText xml:space="preserve"> TOC \o "1-2" \h \z \u </w:instrText>
      </w:r>
      <w:r>
        <w:rPr>
          <w:sz w:val="16"/>
          <w:szCs w:val="16"/>
        </w:rPr>
        <w:fldChar w:fldCharType="separate"/>
      </w:r>
      <w:hyperlink w:anchor="_Toc16206713" w:history="1">
        <w:r w:rsidR="005A4315" w:rsidRPr="0062432E">
          <w:rPr>
            <w:rStyle w:val="Hyperlink"/>
          </w:rPr>
          <w:t>Introduction</w:t>
        </w:r>
        <w:r w:rsidR="005A4315">
          <w:rPr>
            <w:webHidden/>
          </w:rPr>
          <w:tab/>
        </w:r>
        <w:r w:rsidR="005A4315">
          <w:rPr>
            <w:webHidden/>
          </w:rPr>
          <w:fldChar w:fldCharType="begin"/>
        </w:r>
        <w:r w:rsidR="005A4315">
          <w:rPr>
            <w:webHidden/>
          </w:rPr>
          <w:instrText xml:space="preserve"> PAGEREF _Toc16206713 \h </w:instrText>
        </w:r>
        <w:r w:rsidR="005A4315">
          <w:rPr>
            <w:webHidden/>
          </w:rPr>
        </w:r>
        <w:r w:rsidR="005A4315">
          <w:rPr>
            <w:webHidden/>
          </w:rPr>
          <w:fldChar w:fldCharType="separate"/>
        </w:r>
        <w:r w:rsidR="00C618D0">
          <w:rPr>
            <w:webHidden/>
          </w:rPr>
          <w:t>3</w:t>
        </w:r>
        <w:r w:rsidR="005A4315">
          <w:rPr>
            <w:webHidden/>
          </w:rPr>
          <w:fldChar w:fldCharType="end"/>
        </w:r>
      </w:hyperlink>
    </w:p>
    <w:p w:rsidR="005A4315" w:rsidRDefault="00277264">
      <w:pPr>
        <w:pStyle w:val="TOC1"/>
        <w:rPr>
          <w:rFonts w:eastAsiaTheme="minorEastAsia" w:cstheme="minorBidi"/>
          <w:b w:val="0"/>
          <w:color w:val="auto"/>
          <w:sz w:val="22"/>
          <w:szCs w:val="22"/>
          <w:lang w:eastAsia="zh-TW"/>
        </w:rPr>
      </w:pPr>
      <w:hyperlink w:anchor="_Toc16206714" w:history="1">
        <w:r w:rsidR="005A4315" w:rsidRPr="0062432E">
          <w:rPr>
            <w:rStyle w:val="Hyperlink"/>
          </w:rPr>
          <w:t>Senior Education Profile</w:t>
        </w:r>
        <w:r w:rsidR="005A4315">
          <w:rPr>
            <w:webHidden/>
          </w:rPr>
          <w:tab/>
        </w:r>
        <w:r w:rsidR="005A4315">
          <w:rPr>
            <w:webHidden/>
          </w:rPr>
          <w:fldChar w:fldCharType="begin"/>
        </w:r>
        <w:r w:rsidR="005A4315">
          <w:rPr>
            <w:webHidden/>
          </w:rPr>
          <w:instrText xml:space="preserve"> PAGEREF _Toc16206714 \h </w:instrText>
        </w:r>
        <w:r w:rsidR="005A4315">
          <w:rPr>
            <w:webHidden/>
          </w:rPr>
        </w:r>
        <w:r w:rsidR="005A4315">
          <w:rPr>
            <w:webHidden/>
          </w:rPr>
          <w:fldChar w:fldCharType="separate"/>
        </w:r>
        <w:r w:rsidR="00C618D0">
          <w:rPr>
            <w:webHidden/>
          </w:rPr>
          <w:t>3</w:t>
        </w:r>
        <w:r w:rsidR="005A4315">
          <w:rPr>
            <w:webHidden/>
          </w:rPr>
          <w:fldChar w:fldCharType="end"/>
        </w:r>
      </w:hyperlink>
    </w:p>
    <w:p w:rsidR="005A4315" w:rsidRDefault="00277264">
      <w:pPr>
        <w:pStyle w:val="TOC2"/>
        <w:rPr>
          <w:rFonts w:eastAsiaTheme="minorEastAsia" w:cstheme="minorBidi"/>
          <w:color w:val="auto"/>
          <w:sz w:val="22"/>
          <w:szCs w:val="22"/>
          <w:lang w:eastAsia="zh-TW"/>
        </w:rPr>
      </w:pPr>
      <w:hyperlink w:anchor="_Toc16206715" w:history="1">
        <w:r w:rsidR="005A4315" w:rsidRPr="0062432E">
          <w:rPr>
            <w:rStyle w:val="Hyperlink"/>
          </w:rPr>
          <w:t>Statement of results</w:t>
        </w:r>
        <w:r w:rsidR="005A4315">
          <w:rPr>
            <w:webHidden/>
          </w:rPr>
          <w:tab/>
        </w:r>
        <w:r w:rsidR="005A4315">
          <w:rPr>
            <w:webHidden/>
          </w:rPr>
          <w:fldChar w:fldCharType="begin"/>
        </w:r>
        <w:r w:rsidR="005A4315">
          <w:rPr>
            <w:webHidden/>
          </w:rPr>
          <w:instrText xml:space="preserve"> PAGEREF _Toc16206715 \h </w:instrText>
        </w:r>
        <w:r w:rsidR="005A4315">
          <w:rPr>
            <w:webHidden/>
          </w:rPr>
        </w:r>
        <w:r w:rsidR="005A4315">
          <w:rPr>
            <w:webHidden/>
          </w:rPr>
          <w:fldChar w:fldCharType="separate"/>
        </w:r>
        <w:r w:rsidR="00C618D0">
          <w:rPr>
            <w:webHidden/>
          </w:rPr>
          <w:t>3</w:t>
        </w:r>
        <w:r w:rsidR="005A4315">
          <w:rPr>
            <w:webHidden/>
          </w:rPr>
          <w:fldChar w:fldCharType="end"/>
        </w:r>
      </w:hyperlink>
    </w:p>
    <w:p w:rsidR="005A4315" w:rsidRDefault="00277264">
      <w:pPr>
        <w:pStyle w:val="TOC2"/>
        <w:rPr>
          <w:rFonts w:eastAsiaTheme="minorEastAsia" w:cstheme="minorBidi"/>
          <w:color w:val="auto"/>
          <w:sz w:val="22"/>
          <w:szCs w:val="22"/>
          <w:lang w:eastAsia="zh-TW"/>
        </w:rPr>
      </w:pPr>
      <w:hyperlink w:anchor="_Toc16206716" w:history="1">
        <w:r w:rsidR="005A4315" w:rsidRPr="0062432E">
          <w:rPr>
            <w:rStyle w:val="Hyperlink"/>
          </w:rPr>
          <w:t>Queensland Certificate of Education (QCE)</w:t>
        </w:r>
        <w:r w:rsidR="005A4315">
          <w:rPr>
            <w:webHidden/>
          </w:rPr>
          <w:tab/>
        </w:r>
        <w:r w:rsidR="005A4315">
          <w:rPr>
            <w:webHidden/>
          </w:rPr>
          <w:fldChar w:fldCharType="begin"/>
        </w:r>
        <w:r w:rsidR="005A4315">
          <w:rPr>
            <w:webHidden/>
          </w:rPr>
          <w:instrText xml:space="preserve"> PAGEREF _Toc16206716 \h </w:instrText>
        </w:r>
        <w:r w:rsidR="005A4315">
          <w:rPr>
            <w:webHidden/>
          </w:rPr>
        </w:r>
        <w:r w:rsidR="005A4315">
          <w:rPr>
            <w:webHidden/>
          </w:rPr>
          <w:fldChar w:fldCharType="separate"/>
        </w:r>
        <w:r w:rsidR="00C618D0">
          <w:rPr>
            <w:webHidden/>
          </w:rPr>
          <w:t>3</w:t>
        </w:r>
        <w:r w:rsidR="005A4315">
          <w:rPr>
            <w:webHidden/>
          </w:rPr>
          <w:fldChar w:fldCharType="end"/>
        </w:r>
      </w:hyperlink>
    </w:p>
    <w:p w:rsidR="005A4315" w:rsidRDefault="00277264">
      <w:pPr>
        <w:pStyle w:val="TOC2"/>
        <w:rPr>
          <w:rFonts w:eastAsiaTheme="minorEastAsia" w:cstheme="minorBidi"/>
          <w:color w:val="auto"/>
          <w:sz w:val="22"/>
          <w:szCs w:val="22"/>
          <w:lang w:eastAsia="zh-TW"/>
        </w:rPr>
      </w:pPr>
      <w:hyperlink w:anchor="_Toc16206717" w:history="1">
        <w:r w:rsidR="005A4315" w:rsidRPr="0062432E">
          <w:rPr>
            <w:rStyle w:val="Hyperlink"/>
          </w:rPr>
          <w:t>Queensland Certificate of Individual Achievement (QCIA)</w:t>
        </w:r>
        <w:r w:rsidR="005A4315">
          <w:rPr>
            <w:webHidden/>
          </w:rPr>
          <w:tab/>
        </w:r>
        <w:r w:rsidR="005A4315">
          <w:rPr>
            <w:webHidden/>
          </w:rPr>
          <w:fldChar w:fldCharType="begin"/>
        </w:r>
        <w:r w:rsidR="005A4315">
          <w:rPr>
            <w:webHidden/>
          </w:rPr>
          <w:instrText xml:space="preserve"> PAGEREF _Toc16206717 \h </w:instrText>
        </w:r>
        <w:r w:rsidR="005A4315">
          <w:rPr>
            <w:webHidden/>
          </w:rPr>
        </w:r>
        <w:r w:rsidR="005A4315">
          <w:rPr>
            <w:webHidden/>
          </w:rPr>
          <w:fldChar w:fldCharType="separate"/>
        </w:r>
        <w:r w:rsidR="00C618D0">
          <w:rPr>
            <w:webHidden/>
          </w:rPr>
          <w:t>4</w:t>
        </w:r>
        <w:r w:rsidR="005A4315">
          <w:rPr>
            <w:webHidden/>
          </w:rPr>
          <w:fldChar w:fldCharType="end"/>
        </w:r>
      </w:hyperlink>
    </w:p>
    <w:p w:rsidR="005A4315" w:rsidRDefault="00277264">
      <w:pPr>
        <w:pStyle w:val="TOC1"/>
        <w:rPr>
          <w:rFonts w:eastAsiaTheme="minorEastAsia" w:cstheme="minorBidi"/>
          <w:b w:val="0"/>
          <w:color w:val="auto"/>
          <w:sz w:val="22"/>
          <w:szCs w:val="22"/>
          <w:lang w:eastAsia="zh-TW"/>
        </w:rPr>
      </w:pPr>
      <w:hyperlink w:anchor="_Toc16206718" w:history="1">
        <w:r w:rsidR="005A4315" w:rsidRPr="0062432E">
          <w:rPr>
            <w:rStyle w:val="Hyperlink"/>
          </w:rPr>
          <w:t>Senior subjects</w:t>
        </w:r>
        <w:r w:rsidR="005A4315">
          <w:rPr>
            <w:webHidden/>
          </w:rPr>
          <w:tab/>
        </w:r>
        <w:r w:rsidR="005A4315">
          <w:rPr>
            <w:webHidden/>
          </w:rPr>
          <w:fldChar w:fldCharType="begin"/>
        </w:r>
        <w:r w:rsidR="005A4315">
          <w:rPr>
            <w:webHidden/>
          </w:rPr>
          <w:instrText xml:space="preserve"> PAGEREF _Toc16206718 \h </w:instrText>
        </w:r>
        <w:r w:rsidR="005A4315">
          <w:rPr>
            <w:webHidden/>
          </w:rPr>
        </w:r>
        <w:r w:rsidR="005A4315">
          <w:rPr>
            <w:webHidden/>
          </w:rPr>
          <w:fldChar w:fldCharType="separate"/>
        </w:r>
        <w:r w:rsidR="00C618D0">
          <w:rPr>
            <w:webHidden/>
          </w:rPr>
          <w:t>4</w:t>
        </w:r>
        <w:r w:rsidR="005A4315">
          <w:rPr>
            <w:webHidden/>
          </w:rPr>
          <w:fldChar w:fldCharType="end"/>
        </w:r>
      </w:hyperlink>
    </w:p>
    <w:p w:rsidR="005A4315" w:rsidRDefault="00277264">
      <w:pPr>
        <w:pStyle w:val="TOC2"/>
        <w:rPr>
          <w:rFonts w:eastAsiaTheme="minorEastAsia" w:cstheme="minorBidi"/>
          <w:color w:val="auto"/>
          <w:sz w:val="22"/>
          <w:szCs w:val="22"/>
          <w:lang w:eastAsia="zh-TW"/>
        </w:rPr>
      </w:pPr>
      <w:hyperlink w:anchor="_Toc16206719" w:history="1">
        <w:r w:rsidR="005A4315" w:rsidRPr="0062432E">
          <w:rPr>
            <w:rStyle w:val="Hyperlink"/>
          </w:rPr>
          <w:t>Underpinning factors</w:t>
        </w:r>
        <w:r w:rsidR="005A4315">
          <w:rPr>
            <w:webHidden/>
          </w:rPr>
          <w:tab/>
        </w:r>
        <w:r w:rsidR="005A4315">
          <w:rPr>
            <w:webHidden/>
          </w:rPr>
          <w:fldChar w:fldCharType="begin"/>
        </w:r>
        <w:r w:rsidR="005A4315">
          <w:rPr>
            <w:webHidden/>
          </w:rPr>
          <w:instrText xml:space="preserve"> PAGEREF _Toc16206719 \h </w:instrText>
        </w:r>
        <w:r w:rsidR="005A4315">
          <w:rPr>
            <w:webHidden/>
          </w:rPr>
        </w:r>
        <w:r w:rsidR="005A4315">
          <w:rPr>
            <w:webHidden/>
          </w:rPr>
          <w:fldChar w:fldCharType="separate"/>
        </w:r>
        <w:r w:rsidR="00C618D0">
          <w:rPr>
            <w:webHidden/>
          </w:rPr>
          <w:t>5</w:t>
        </w:r>
        <w:r w:rsidR="005A4315">
          <w:rPr>
            <w:webHidden/>
          </w:rPr>
          <w:fldChar w:fldCharType="end"/>
        </w:r>
      </w:hyperlink>
    </w:p>
    <w:p w:rsidR="005A4315" w:rsidRDefault="00277264">
      <w:pPr>
        <w:pStyle w:val="TOC2"/>
        <w:rPr>
          <w:rFonts w:eastAsiaTheme="minorEastAsia" w:cstheme="minorBidi"/>
          <w:color w:val="auto"/>
          <w:sz w:val="22"/>
          <w:szCs w:val="22"/>
          <w:lang w:eastAsia="zh-TW"/>
        </w:rPr>
      </w:pPr>
      <w:hyperlink w:anchor="_Toc16206720" w:history="1">
        <w:r w:rsidR="005A4315" w:rsidRPr="0062432E">
          <w:rPr>
            <w:rStyle w:val="Hyperlink"/>
          </w:rPr>
          <w:t>Vocational education and training (VET)</w:t>
        </w:r>
        <w:r w:rsidR="005A4315">
          <w:rPr>
            <w:webHidden/>
          </w:rPr>
          <w:tab/>
        </w:r>
        <w:r w:rsidR="005A4315">
          <w:rPr>
            <w:webHidden/>
          </w:rPr>
          <w:fldChar w:fldCharType="begin"/>
        </w:r>
        <w:r w:rsidR="005A4315">
          <w:rPr>
            <w:webHidden/>
          </w:rPr>
          <w:instrText xml:space="preserve"> PAGEREF _Toc16206720 \h </w:instrText>
        </w:r>
        <w:r w:rsidR="005A4315">
          <w:rPr>
            <w:webHidden/>
          </w:rPr>
        </w:r>
        <w:r w:rsidR="005A4315">
          <w:rPr>
            <w:webHidden/>
          </w:rPr>
          <w:fldChar w:fldCharType="separate"/>
        </w:r>
        <w:r w:rsidR="00C618D0">
          <w:rPr>
            <w:webHidden/>
          </w:rPr>
          <w:t>5</w:t>
        </w:r>
        <w:r w:rsidR="005A4315">
          <w:rPr>
            <w:webHidden/>
          </w:rPr>
          <w:fldChar w:fldCharType="end"/>
        </w:r>
      </w:hyperlink>
    </w:p>
    <w:p w:rsidR="005A4315" w:rsidRDefault="00277264">
      <w:pPr>
        <w:pStyle w:val="TOC2"/>
        <w:rPr>
          <w:rFonts w:eastAsiaTheme="minorEastAsia" w:cstheme="minorBidi"/>
          <w:color w:val="auto"/>
          <w:sz w:val="22"/>
          <w:szCs w:val="22"/>
          <w:lang w:eastAsia="zh-TW"/>
        </w:rPr>
      </w:pPr>
      <w:hyperlink w:anchor="_Toc16206721" w:history="1">
        <w:r w:rsidR="005A4315" w:rsidRPr="0062432E">
          <w:rPr>
            <w:rStyle w:val="Hyperlink"/>
          </w:rPr>
          <w:t>Australian Tertiary Admission Rank (ATAR) eligibility</w:t>
        </w:r>
        <w:r w:rsidR="005A4315">
          <w:rPr>
            <w:webHidden/>
          </w:rPr>
          <w:tab/>
        </w:r>
        <w:r w:rsidR="005A4315">
          <w:rPr>
            <w:webHidden/>
          </w:rPr>
          <w:fldChar w:fldCharType="begin"/>
        </w:r>
        <w:r w:rsidR="005A4315">
          <w:rPr>
            <w:webHidden/>
          </w:rPr>
          <w:instrText xml:space="preserve"> PAGEREF _Toc16206721 \h </w:instrText>
        </w:r>
        <w:r w:rsidR="005A4315">
          <w:rPr>
            <w:webHidden/>
          </w:rPr>
        </w:r>
        <w:r w:rsidR="005A4315">
          <w:rPr>
            <w:webHidden/>
          </w:rPr>
          <w:fldChar w:fldCharType="separate"/>
        </w:r>
        <w:r w:rsidR="00C618D0">
          <w:rPr>
            <w:webHidden/>
          </w:rPr>
          <w:t>5</w:t>
        </w:r>
        <w:r w:rsidR="005A4315">
          <w:rPr>
            <w:webHidden/>
          </w:rPr>
          <w:fldChar w:fldCharType="end"/>
        </w:r>
      </w:hyperlink>
    </w:p>
    <w:p w:rsidR="005A4315" w:rsidRDefault="00277264">
      <w:pPr>
        <w:pStyle w:val="TOC1"/>
        <w:rPr>
          <w:rFonts w:eastAsiaTheme="minorEastAsia" w:cstheme="minorBidi"/>
          <w:b w:val="0"/>
          <w:color w:val="auto"/>
          <w:sz w:val="22"/>
          <w:szCs w:val="22"/>
          <w:lang w:eastAsia="zh-TW"/>
        </w:rPr>
      </w:pPr>
      <w:hyperlink w:anchor="_Toc16206722" w:history="1">
        <w:r w:rsidR="005A4315" w:rsidRPr="0062432E">
          <w:rPr>
            <w:rStyle w:val="Hyperlink"/>
          </w:rPr>
          <w:t>General syllabuses</w:t>
        </w:r>
        <w:r w:rsidR="005A4315">
          <w:rPr>
            <w:webHidden/>
          </w:rPr>
          <w:tab/>
        </w:r>
        <w:r w:rsidR="005A4315">
          <w:rPr>
            <w:webHidden/>
          </w:rPr>
          <w:fldChar w:fldCharType="begin"/>
        </w:r>
        <w:r w:rsidR="005A4315">
          <w:rPr>
            <w:webHidden/>
          </w:rPr>
          <w:instrText xml:space="preserve"> PAGEREF _Toc16206722 \h </w:instrText>
        </w:r>
        <w:r w:rsidR="005A4315">
          <w:rPr>
            <w:webHidden/>
          </w:rPr>
        </w:r>
        <w:r w:rsidR="005A4315">
          <w:rPr>
            <w:webHidden/>
          </w:rPr>
          <w:fldChar w:fldCharType="separate"/>
        </w:r>
        <w:r w:rsidR="00C618D0">
          <w:rPr>
            <w:webHidden/>
          </w:rPr>
          <w:t>6</w:t>
        </w:r>
        <w:r w:rsidR="005A4315">
          <w:rPr>
            <w:webHidden/>
          </w:rPr>
          <w:fldChar w:fldCharType="end"/>
        </w:r>
      </w:hyperlink>
    </w:p>
    <w:p w:rsidR="005A4315" w:rsidRDefault="00277264">
      <w:pPr>
        <w:pStyle w:val="TOC2"/>
        <w:rPr>
          <w:rFonts w:eastAsiaTheme="minorEastAsia" w:cstheme="minorBidi"/>
          <w:color w:val="auto"/>
          <w:sz w:val="22"/>
          <w:szCs w:val="22"/>
          <w:lang w:eastAsia="zh-TW"/>
        </w:rPr>
      </w:pPr>
      <w:hyperlink w:anchor="_Toc16206723" w:history="1">
        <w:r w:rsidR="005A4315" w:rsidRPr="0062432E">
          <w:rPr>
            <w:rStyle w:val="Hyperlink"/>
          </w:rPr>
          <w:t>Structure</w:t>
        </w:r>
        <w:r w:rsidR="005A4315">
          <w:rPr>
            <w:webHidden/>
          </w:rPr>
          <w:tab/>
        </w:r>
        <w:r w:rsidR="005A4315">
          <w:rPr>
            <w:webHidden/>
          </w:rPr>
          <w:fldChar w:fldCharType="begin"/>
        </w:r>
        <w:r w:rsidR="005A4315">
          <w:rPr>
            <w:webHidden/>
          </w:rPr>
          <w:instrText xml:space="preserve"> PAGEREF _Toc16206723 \h </w:instrText>
        </w:r>
        <w:r w:rsidR="005A4315">
          <w:rPr>
            <w:webHidden/>
          </w:rPr>
        </w:r>
        <w:r w:rsidR="005A4315">
          <w:rPr>
            <w:webHidden/>
          </w:rPr>
          <w:fldChar w:fldCharType="separate"/>
        </w:r>
        <w:r w:rsidR="00C618D0">
          <w:rPr>
            <w:webHidden/>
          </w:rPr>
          <w:t>6</w:t>
        </w:r>
        <w:r w:rsidR="005A4315">
          <w:rPr>
            <w:webHidden/>
          </w:rPr>
          <w:fldChar w:fldCharType="end"/>
        </w:r>
      </w:hyperlink>
    </w:p>
    <w:p w:rsidR="005A4315" w:rsidRDefault="00277264">
      <w:pPr>
        <w:pStyle w:val="TOC2"/>
        <w:rPr>
          <w:rFonts w:eastAsiaTheme="minorEastAsia" w:cstheme="minorBidi"/>
          <w:color w:val="auto"/>
          <w:sz w:val="22"/>
          <w:szCs w:val="22"/>
          <w:lang w:eastAsia="zh-TW"/>
        </w:rPr>
      </w:pPr>
      <w:hyperlink w:anchor="_Toc16206724" w:history="1">
        <w:r w:rsidR="005A4315" w:rsidRPr="0062432E">
          <w:rPr>
            <w:rStyle w:val="Hyperlink"/>
          </w:rPr>
          <w:t>Assessment</w:t>
        </w:r>
        <w:r w:rsidR="005A4315">
          <w:rPr>
            <w:webHidden/>
          </w:rPr>
          <w:tab/>
        </w:r>
        <w:r w:rsidR="005A4315">
          <w:rPr>
            <w:webHidden/>
          </w:rPr>
          <w:fldChar w:fldCharType="begin"/>
        </w:r>
        <w:r w:rsidR="005A4315">
          <w:rPr>
            <w:webHidden/>
          </w:rPr>
          <w:instrText xml:space="preserve"> PAGEREF _Toc16206724 \h </w:instrText>
        </w:r>
        <w:r w:rsidR="005A4315">
          <w:rPr>
            <w:webHidden/>
          </w:rPr>
        </w:r>
        <w:r w:rsidR="005A4315">
          <w:rPr>
            <w:webHidden/>
          </w:rPr>
          <w:fldChar w:fldCharType="separate"/>
        </w:r>
        <w:r w:rsidR="00C618D0">
          <w:rPr>
            <w:webHidden/>
          </w:rPr>
          <w:t>6</w:t>
        </w:r>
        <w:r w:rsidR="005A4315">
          <w:rPr>
            <w:webHidden/>
          </w:rPr>
          <w:fldChar w:fldCharType="end"/>
        </w:r>
      </w:hyperlink>
    </w:p>
    <w:p w:rsidR="005A4315" w:rsidRDefault="00277264">
      <w:pPr>
        <w:pStyle w:val="TOC1"/>
        <w:rPr>
          <w:rFonts w:eastAsiaTheme="minorEastAsia" w:cstheme="minorBidi"/>
          <w:b w:val="0"/>
          <w:color w:val="auto"/>
          <w:sz w:val="22"/>
          <w:szCs w:val="22"/>
          <w:lang w:eastAsia="zh-TW"/>
        </w:rPr>
      </w:pPr>
      <w:hyperlink w:anchor="_Toc16206725" w:history="1">
        <w:r w:rsidR="005A4315" w:rsidRPr="0062432E">
          <w:rPr>
            <w:rStyle w:val="Hyperlink"/>
          </w:rPr>
          <w:t>Applied syllabuses</w:t>
        </w:r>
        <w:r w:rsidR="005A4315">
          <w:rPr>
            <w:webHidden/>
          </w:rPr>
          <w:tab/>
        </w:r>
        <w:r w:rsidR="005A4315">
          <w:rPr>
            <w:webHidden/>
          </w:rPr>
          <w:fldChar w:fldCharType="begin"/>
        </w:r>
        <w:r w:rsidR="005A4315">
          <w:rPr>
            <w:webHidden/>
          </w:rPr>
          <w:instrText xml:space="preserve"> PAGEREF _Toc16206725 \h </w:instrText>
        </w:r>
        <w:r w:rsidR="005A4315">
          <w:rPr>
            <w:webHidden/>
          </w:rPr>
        </w:r>
        <w:r w:rsidR="005A4315">
          <w:rPr>
            <w:webHidden/>
          </w:rPr>
          <w:fldChar w:fldCharType="separate"/>
        </w:r>
        <w:r w:rsidR="00C618D0">
          <w:rPr>
            <w:webHidden/>
          </w:rPr>
          <w:t>8</w:t>
        </w:r>
        <w:r w:rsidR="005A4315">
          <w:rPr>
            <w:webHidden/>
          </w:rPr>
          <w:fldChar w:fldCharType="end"/>
        </w:r>
      </w:hyperlink>
    </w:p>
    <w:p w:rsidR="005A4315" w:rsidRDefault="00277264">
      <w:pPr>
        <w:pStyle w:val="TOC2"/>
        <w:rPr>
          <w:rFonts w:eastAsiaTheme="minorEastAsia" w:cstheme="minorBidi"/>
          <w:color w:val="auto"/>
          <w:sz w:val="22"/>
          <w:szCs w:val="22"/>
          <w:lang w:eastAsia="zh-TW"/>
        </w:rPr>
      </w:pPr>
      <w:hyperlink w:anchor="_Toc16206726" w:history="1">
        <w:r w:rsidR="005A4315" w:rsidRPr="0062432E">
          <w:rPr>
            <w:rStyle w:val="Hyperlink"/>
          </w:rPr>
          <w:t>Structure</w:t>
        </w:r>
        <w:r w:rsidR="005A4315">
          <w:rPr>
            <w:webHidden/>
          </w:rPr>
          <w:tab/>
        </w:r>
        <w:r w:rsidR="005A4315">
          <w:rPr>
            <w:webHidden/>
          </w:rPr>
          <w:fldChar w:fldCharType="begin"/>
        </w:r>
        <w:r w:rsidR="005A4315">
          <w:rPr>
            <w:webHidden/>
          </w:rPr>
          <w:instrText xml:space="preserve"> PAGEREF _Toc16206726 \h </w:instrText>
        </w:r>
        <w:r w:rsidR="005A4315">
          <w:rPr>
            <w:webHidden/>
          </w:rPr>
        </w:r>
        <w:r w:rsidR="005A4315">
          <w:rPr>
            <w:webHidden/>
          </w:rPr>
          <w:fldChar w:fldCharType="separate"/>
        </w:r>
        <w:r w:rsidR="00C618D0">
          <w:rPr>
            <w:webHidden/>
          </w:rPr>
          <w:t>8</w:t>
        </w:r>
        <w:r w:rsidR="005A4315">
          <w:rPr>
            <w:webHidden/>
          </w:rPr>
          <w:fldChar w:fldCharType="end"/>
        </w:r>
      </w:hyperlink>
    </w:p>
    <w:p w:rsidR="005A4315" w:rsidRDefault="00277264">
      <w:pPr>
        <w:pStyle w:val="TOC2"/>
        <w:rPr>
          <w:rFonts w:eastAsiaTheme="minorEastAsia" w:cstheme="minorBidi"/>
          <w:color w:val="auto"/>
          <w:sz w:val="22"/>
          <w:szCs w:val="22"/>
          <w:lang w:eastAsia="zh-TW"/>
        </w:rPr>
      </w:pPr>
      <w:hyperlink w:anchor="_Toc16206727" w:history="1">
        <w:r w:rsidR="005A4315" w:rsidRPr="0062432E">
          <w:rPr>
            <w:rStyle w:val="Hyperlink"/>
          </w:rPr>
          <w:t>Assessment</w:t>
        </w:r>
        <w:r w:rsidR="005A4315">
          <w:rPr>
            <w:webHidden/>
          </w:rPr>
          <w:tab/>
        </w:r>
        <w:r w:rsidR="005A4315">
          <w:rPr>
            <w:webHidden/>
          </w:rPr>
          <w:fldChar w:fldCharType="begin"/>
        </w:r>
        <w:r w:rsidR="005A4315">
          <w:rPr>
            <w:webHidden/>
          </w:rPr>
          <w:instrText xml:space="preserve"> PAGEREF _Toc16206727 \h </w:instrText>
        </w:r>
        <w:r w:rsidR="005A4315">
          <w:rPr>
            <w:webHidden/>
          </w:rPr>
        </w:r>
        <w:r w:rsidR="005A4315">
          <w:rPr>
            <w:webHidden/>
          </w:rPr>
          <w:fldChar w:fldCharType="separate"/>
        </w:r>
        <w:r w:rsidR="00C618D0">
          <w:rPr>
            <w:webHidden/>
          </w:rPr>
          <w:t>8</w:t>
        </w:r>
        <w:r w:rsidR="005A4315">
          <w:rPr>
            <w:webHidden/>
          </w:rPr>
          <w:fldChar w:fldCharType="end"/>
        </w:r>
      </w:hyperlink>
    </w:p>
    <w:p w:rsidR="005A4315" w:rsidRDefault="00277264">
      <w:pPr>
        <w:pStyle w:val="TOC2"/>
        <w:rPr>
          <w:rFonts w:eastAsiaTheme="minorEastAsia" w:cstheme="minorBidi"/>
          <w:color w:val="auto"/>
          <w:sz w:val="22"/>
          <w:szCs w:val="22"/>
          <w:lang w:eastAsia="zh-TW"/>
        </w:rPr>
      </w:pPr>
      <w:hyperlink w:anchor="_Toc16206728" w:history="1">
        <w:r w:rsidR="005A4315" w:rsidRPr="0062432E">
          <w:rPr>
            <w:rStyle w:val="Hyperlink"/>
          </w:rPr>
          <w:t>Senior External Examinations</w:t>
        </w:r>
        <w:r w:rsidR="005A4315">
          <w:rPr>
            <w:webHidden/>
          </w:rPr>
          <w:tab/>
        </w:r>
        <w:r w:rsidR="005A4315">
          <w:rPr>
            <w:webHidden/>
          </w:rPr>
          <w:fldChar w:fldCharType="begin"/>
        </w:r>
        <w:r w:rsidR="005A4315">
          <w:rPr>
            <w:webHidden/>
          </w:rPr>
          <w:instrText xml:space="preserve"> PAGEREF _Toc16206728 \h </w:instrText>
        </w:r>
        <w:r w:rsidR="005A4315">
          <w:rPr>
            <w:webHidden/>
          </w:rPr>
        </w:r>
        <w:r w:rsidR="005A4315">
          <w:rPr>
            <w:webHidden/>
          </w:rPr>
          <w:fldChar w:fldCharType="separate"/>
        </w:r>
        <w:r w:rsidR="00C618D0">
          <w:rPr>
            <w:webHidden/>
          </w:rPr>
          <w:t>9</w:t>
        </w:r>
        <w:r w:rsidR="005A4315">
          <w:rPr>
            <w:webHidden/>
          </w:rPr>
          <w:fldChar w:fldCharType="end"/>
        </w:r>
      </w:hyperlink>
    </w:p>
    <w:p w:rsidR="005A4315" w:rsidRDefault="00277264" w:rsidP="00814D7C">
      <w:pPr>
        <w:pStyle w:val="TOC2"/>
        <w:rPr>
          <w:rFonts w:eastAsiaTheme="minorEastAsia" w:cstheme="minorBidi"/>
          <w:color w:val="auto"/>
          <w:sz w:val="22"/>
          <w:szCs w:val="22"/>
          <w:lang w:eastAsia="zh-TW"/>
        </w:rPr>
      </w:pPr>
      <w:hyperlink w:anchor="_Toc16206729" w:history="1">
        <w:r w:rsidR="005A4315" w:rsidRPr="0062432E">
          <w:rPr>
            <w:rStyle w:val="Hyperlink"/>
          </w:rPr>
          <w:t>Assessment</w:t>
        </w:r>
        <w:r w:rsidR="005A4315">
          <w:rPr>
            <w:webHidden/>
          </w:rPr>
          <w:tab/>
        </w:r>
        <w:r w:rsidR="005A4315">
          <w:rPr>
            <w:webHidden/>
          </w:rPr>
          <w:fldChar w:fldCharType="begin"/>
        </w:r>
        <w:r w:rsidR="005A4315">
          <w:rPr>
            <w:webHidden/>
          </w:rPr>
          <w:instrText xml:space="preserve"> PAGEREF _Toc16206729 \h </w:instrText>
        </w:r>
        <w:r w:rsidR="005A4315">
          <w:rPr>
            <w:webHidden/>
          </w:rPr>
        </w:r>
        <w:r w:rsidR="005A4315">
          <w:rPr>
            <w:webHidden/>
          </w:rPr>
          <w:fldChar w:fldCharType="separate"/>
        </w:r>
        <w:r w:rsidR="00C618D0">
          <w:rPr>
            <w:webHidden/>
          </w:rPr>
          <w:t>9</w:t>
        </w:r>
        <w:r w:rsidR="005A4315">
          <w:rPr>
            <w:webHidden/>
          </w:rPr>
          <w:fldChar w:fldCharType="end"/>
        </w:r>
      </w:hyperlink>
      <w:hyperlink w:anchor="_Toc16206730" w:history="1"/>
    </w:p>
    <w:p w:rsidR="005A4315" w:rsidRDefault="00277264">
      <w:pPr>
        <w:pStyle w:val="TOC1"/>
        <w:rPr>
          <w:rFonts w:eastAsiaTheme="minorEastAsia" w:cstheme="minorBidi"/>
          <w:b w:val="0"/>
          <w:color w:val="auto"/>
          <w:sz w:val="22"/>
          <w:szCs w:val="22"/>
          <w:lang w:eastAsia="zh-TW"/>
        </w:rPr>
      </w:pPr>
      <w:hyperlink w:anchor="_Toc16206731" w:history="1">
        <w:r w:rsidR="005A4315" w:rsidRPr="0062432E">
          <w:rPr>
            <w:rStyle w:val="Hyperlink"/>
          </w:rPr>
          <w:t>QCAA senior syllabuses</w:t>
        </w:r>
        <w:r w:rsidR="005A4315">
          <w:rPr>
            <w:webHidden/>
          </w:rPr>
          <w:tab/>
        </w:r>
        <w:r w:rsidR="005A4315">
          <w:rPr>
            <w:webHidden/>
          </w:rPr>
          <w:fldChar w:fldCharType="begin"/>
        </w:r>
        <w:r w:rsidR="005A4315">
          <w:rPr>
            <w:webHidden/>
          </w:rPr>
          <w:instrText xml:space="preserve"> PAGEREF _Toc16206731 \h </w:instrText>
        </w:r>
        <w:r w:rsidR="005A4315">
          <w:rPr>
            <w:webHidden/>
          </w:rPr>
        </w:r>
        <w:r w:rsidR="005A4315">
          <w:rPr>
            <w:webHidden/>
          </w:rPr>
          <w:fldChar w:fldCharType="separate"/>
        </w:r>
        <w:r w:rsidR="00C618D0">
          <w:rPr>
            <w:webHidden/>
          </w:rPr>
          <w:t>10</w:t>
        </w:r>
        <w:r w:rsidR="005A4315">
          <w:rPr>
            <w:webHidden/>
          </w:rPr>
          <w:fldChar w:fldCharType="end"/>
        </w:r>
      </w:hyperlink>
    </w:p>
    <w:p w:rsidR="005A4315" w:rsidRDefault="00277264">
      <w:pPr>
        <w:pStyle w:val="TOC2"/>
        <w:rPr>
          <w:rFonts w:eastAsiaTheme="minorEastAsia" w:cstheme="minorBidi"/>
          <w:color w:val="auto"/>
          <w:sz w:val="22"/>
          <w:szCs w:val="22"/>
          <w:lang w:eastAsia="zh-TW"/>
        </w:rPr>
      </w:pPr>
      <w:hyperlink w:anchor="_Toc16206732" w:history="1">
        <w:r w:rsidR="005A4315" w:rsidRPr="0062432E">
          <w:rPr>
            <w:rStyle w:val="Hyperlink"/>
          </w:rPr>
          <w:t>Mathematics</w:t>
        </w:r>
        <w:r w:rsidR="005A4315">
          <w:rPr>
            <w:webHidden/>
          </w:rPr>
          <w:tab/>
        </w:r>
        <w:r w:rsidR="008537B0">
          <w:rPr>
            <w:webHidden/>
          </w:rPr>
          <w:t>11</w:t>
        </w:r>
      </w:hyperlink>
    </w:p>
    <w:p w:rsidR="005A4315" w:rsidRDefault="00277264">
      <w:pPr>
        <w:pStyle w:val="TOC2"/>
        <w:rPr>
          <w:rFonts w:eastAsiaTheme="minorEastAsia" w:cstheme="minorBidi"/>
          <w:color w:val="auto"/>
          <w:sz w:val="22"/>
          <w:szCs w:val="22"/>
          <w:lang w:eastAsia="zh-TW"/>
        </w:rPr>
      </w:pPr>
      <w:hyperlink w:anchor="_Toc16206734" w:history="1">
        <w:r w:rsidR="005A4315" w:rsidRPr="0062432E">
          <w:rPr>
            <w:rStyle w:val="Hyperlink"/>
          </w:rPr>
          <w:t>English</w:t>
        </w:r>
        <w:r w:rsidR="005A4315">
          <w:rPr>
            <w:webHidden/>
          </w:rPr>
          <w:tab/>
        </w:r>
        <w:r w:rsidR="005A4315">
          <w:rPr>
            <w:webHidden/>
          </w:rPr>
          <w:fldChar w:fldCharType="begin"/>
        </w:r>
        <w:r w:rsidR="005A4315">
          <w:rPr>
            <w:webHidden/>
          </w:rPr>
          <w:instrText xml:space="preserve"> PAGEREF _Toc16206734 \h </w:instrText>
        </w:r>
        <w:r w:rsidR="005A4315">
          <w:rPr>
            <w:webHidden/>
          </w:rPr>
        </w:r>
        <w:r w:rsidR="005A4315">
          <w:rPr>
            <w:webHidden/>
          </w:rPr>
          <w:fldChar w:fldCharType="separate"/>
        </w:r>
        <w:r w:rsidR="00C618D0">
          <w:rPr>
            <w:webHidden/>
          </w:rPr>
          <w:t>10</w:t>
        </w:r>
        <w:r w:rsidR="005A4315">
          <w:rPr>
            <w:webHidden/>
          </w:rPr>
          <w:fldChar w:fldCharType="end"/>
        </w:r>
      </w:hyperlink>
    </w:p>
    <w:p w:rsidR="005A4315" w:rsidRDefault="00277264">
      <w:pPr>
        <w:pStyle w:val="TOC2"/>
        <w:rPr>
          <w:rFonts w:eastAsiaTheme="minorEastAsia" w:cstheme="minorBidi"/>
          <w:color w:val="auto"/>
          <w:sz w:val="22"/>
          <w:szCs w:val="22"/>
          <w:lang w:eastAsia="zh-TW"/>
        </w:rPr>
      </w:pPr>
      <w:hyperlink w:anchor="_Toc16206735" w:history="1">
        <w:r w:rsidR="005A4315" w:rsidRPr="0062432E">
          <w:rPr>
            <w:rStyle w:val="Hyperlink"/>
          </w:rPr>
          <w:t>Humanities</w:t>
        </w:r>
        <w:r w:rsidR="005A4315">
          <w:rPr>
            <w:webHidden/>
          </w:rPr>
          <w:tab/>
        </w:r>
        <w:r w:rsidR="008537B0">
          <w:rPr>
            <w:webHidden/>
          </w:rPr>
          <w:t>23</w:t>
        </w:r>
      </w:hyperlink>
    </w:p>
    <w:p w:rsidR="005A4315" w:rsidRDefault="00277264">
      <w:pPr>
        <w:pStyle w:val="TOC2"/>
        <w:rPr>
          <w:rFonts w:eastAsiaTheme="minorEastAsia" w:cstheme="minorBidi"/>
          <w:color w:val="auto"/>
          <w:sz w:val="22"/>
          <w:szCs w:val="22"/>
          <w:lang w:eastAsia="zh-TW"/>
        </w:rPr>
      </w:pPr>
      <w:hyperlink w:anchor="_Toc16206736" w:history="1">
        <w:r w:rsidR="005A4315" w:rsidRPr="0062432E">
          <w:rPr>
            <w:rStyle w:val="Hyperlink"/>
          </w:rPr>
          <w:t>Technologies</w:t>
        </w:r>
        <w:r w:rsidR="005A4315">
          <w:rPr>
            <w:webHidden/>
          </w:rPr>
          <w:tab/>
        </w:r>
        <w:r w:rsidR="008537B0">
          <w:rPr>
            <w:webHidden/>
          </w:rPr>
          <w:t>33</w:t>
        </w:r>
      </w:hyperlink>
    </w:p>
    <w:p w:rsidR="005A4315" w:rsidRDefault="00277264">
      <w:pPr>
        <w:pStyle w:val="TOC2"/>
        <w:rPr>
          <w:rFonts w:eastAsiaTheme="minorEastAsia" w:cstheme="minorBidi"/>
          <w:color w:val="auto"/>
          <w:sz w:val="22"/>
          <w:szCs w:val="22"/>
          <w:lang w:eastAsia="zh-TW"/>
        </w:rPr>
      </w:pPr>
      <w:hyperlink w:anchor="_Toc16206737" w:history="1">
        <w:r w:rsidR="005A4315" w:rsidRPr="0062432E">
          <w:rPr>
            <w:rStyle w:val="Hyperlink"/>
          </w:rPr>
          <w:t>Health and Physical Education</w:t>
        </w:r>
        <w:r w:rsidR="005A4315">
          <w:rPr>
            <w:webHidden/>
          </w:rPr>
          <w:tab/>
        </w:r>
        <w:r w:rsidR="005A4315">
          <w:rPr>
            <w:webHidden/>
          </w:rPr>
          <w:fldChar w:fldCharType="begin"/>
        </w:r>
        <w:r w:rsidR="005A4315">
          <w:rPr>
            <w:webHidden/>
          </w:rPr>
          <w:instrText xml:space="preserve"> PAGEREF _Toc16206737 \h </w:instrText>
        </w:r>
        <w:r w:rsidR="005A4315">
          <w:rPr>
            <w:webHidden/>
          </w:rPr>
        </w:r>
        <w:r w:rsidR="005A4315">
          <w:rPr>
            <w:webHidden/>
          </w:rPr>
          <w:fldChar w:fldCharType="separate"/>
        </w:r>
        <w:r w:rsidR="00C618D0">
          <w:rPr>
            <w:webHidden/>
          </w:rPr>
          <w:t>10</w:t>
        </w:r>
        <w:r w:rsidR="005A4315">
          <w:rPr>
            <w:webHidden/>
          </w:rPr>
          <w:fldChar w:fldCharType="end"/>
        </w:r>
      </w:hyperlink>
    </w:p>
    <w:p w:rsidR="005A4315" w:rsidRDefault="00277264">
      <w:pPr>
        <w:pStyle w:val="TOC2"/>
        <w:rPr>
          <w:rFonts w:eastAsiaTheme="minorEastAsia" w:cstheme="minorBidi"/>
          <w:color w:val="auto"/>
          <w:sz w:val="22"/>
          <w:szCs w:val="22"/>
          <w:lang w:eastAsia="zh-TW"/>
        </w:rPr>
      </w:pPr>
      <w:hyperlink w:anchor="_Toc16206738" w:history="1">
        <w:r w:rsidR="005A4315" w:rsidRPr="0062432E">
          <w:rPr>
            <w:rStyle w:val="Hyperlink"/>
          </w:rPr>
          <w:t>Science</w:t>
        </w:r>
        <w:r w:rsidR="005A4315">
          <w:rPr>
            <w:webHidden/>
          </w:rPr>
          <w:tab/>
        </w:r>
        <w:r w:rsidR="008537B0">
          <w:rPr>
            <w:webHidden/>
          </w:rPr>
          <w:t>49</w:t>
        </w:r>
      </w:hyperlink>
    </w:p>
    <w:p w:rsidR="005A4315" w:rsidRDefault="00277264">
      <w:pPr>
        <w:pStyle w:val="TOC2"/>
        <w:rPr>
          <w:rStyle w:val="Hyperlink"/>
        </w:rPr>
      </w:pPr>
      <w:hyperlink w:anchor="_Toc16206739" w:history="1">
        <w:r w:rsidR="005A4315" w:rsidRPr="0062432E">
          <w:rPr>
            <w:rStyle w:val="Hyperlink"/>
          </w:rPr>
          <w:t>Languages</w:t>
        </w:r>
        <w:r w:rsidR="005A4315">
          <w:rPr>
            <w:webHidden/>
          </w:rPr>
          <w:tab/>
        </w:r>
        <w:r w:rsidR="008537B0">
          <w:rPr>
            <w:webHidden/>
          </w:rPr>
          <w:t>6</w:t>
        </w:r>
      </w:hyperlink>
      <w:r w:rsidR="00814D7C" w:rsidRPr="00814D7C">
        <w:rPr>
          <w:rStyle w:val="Hyperlink"/>
          <w:color w:val="auto"/>
        </w:rPr>
        <w:t>1</w:t>
      </w:r>
    </w:p>
    <w:p w:rsidR="00814D7C" w:rsidRPr="00814D7C" w:rsidRDefault="00814D7C" w:rsidP="00814D7C">
      <w:pPr>
        <w:tabs>
          <w:tab w:val="right" w:leader="dot" w:pos="8505"/>
        </w:tabs>
        <w:rPr>
          <w:rFonts w:eastAsiaTheme="minorEastAsia"/>
          <w:lang w:eastAsia="en-US"/>
        </w:rPr>
      </w:pPr>
      <w:r w:rsidRPr="00E42350">
        <w:rPr>
          <w:rStyle w:val="Hyperlink"/>
          <w:noProof/>
          <w:color w:val="auto"/>
          <w:sz w:val="24"/>
          <w:szCs w:val="24"/>
        </w:rPr>
        <w:t xml:space="preserve">The Arts </w:t>
      </w:r>
      <w:r>
        <w:rPr>
          <w:rFonts w:eastAsiaTheme="minorEastAsia"/>
          <w:lang w:eastAsia="en-US"/>
        </w:rPr>
        <w:tab/>
        <w:t>63</w:t>
      </w:r>
    </w:p>
    <w:p w:rsidR="005A4315" w:rsidRDefault="00277264">
      <w:pPr>
        <w:pStyle w:val="TOC1"/>
        <w:rPr>
          <w:rFonts w:eastAsiaTheme="minorEastAsia" w:cstheme="minorBidi"/>
          <w:b w:val="0"/>
          <w:color w:val="auto"/>
          <w:sz w:val="22"/>
          <w:szCs w:val="22"/>
          <w:lang w:eastAsia="zh-TW"/>
        </w:rPr>
      </w:pPr>
      <w:hyperlink w:anchor="_Toc16206741" w:history="1">
        <w:r w:rsidR="005A4315" w:rsidRPr="0062432E">
          <w:rPr>
            <w:rStyle w:val="Hyperlink"/>
          </w:rPr>
          <w:t>VET SUBJECT SELECTION</w:t>
        </w:r>
        <w:r w:rsidR="005A4315">
          <w:rPr>
            <w:webHidden/>
          </w:rPr>
          <w:tab/>
        </w:r>
        <w:r w:rsidR="005A4315">
          <w:rPr>
            <w:webHidden/>
          </w:rPr>
          <w:fldChar w:fldCharType="begin"/>
        </w:r>
        <w:r w:rsidR="005A4315">
          <w:rPr>
            <w:webHidden/>
          </w:rPr>
          <w:instrText xml:space="preserve"> PAGEREF _Toc16206741 \h </w:instrText>
        </w:r>
        <w:r w:rsidR="005A4315">
          <w:rPr>
            <w:webHidden/>
          </w:rPr>
        </w:r>
        <w:r w:rsidR="005A4315">
          <w:rPr>
            <w:webHidden/>
          </w:rPr>
          <w:fldChar w:fldCharType="separate"/>
        </w:r>
        <w:r w:rsidR="00C618D0">
          <w:rPr>
            <w:webHidden/>
          </w:rPr>
          <w:t>76</w:t>
        </w:r>
        <w:r w:rsidR="005A4315">
          <w:rPr>
            <w:webHidden/>
          </w:rPr>
          <w:fldChar w:fldCharType="end"/>
        </w:r>
      </w:hyperlink>
    </w:p>
    <w:p w:rsidR="005A4315" w:rsidRDefault="00277264">
      <w:pPr>
        <w:pStyle w:val="TOC2"/>
        <w:rPr>
          <w:rFonts w:eastAsiaTheme="minorEastAsia" w:cstheme="minorBidi"/>
          <w:color w:val="auto"/>
          <w:sz w:val="22"/>
          <w:szCs w:val="22"/>
          <w:lang w:eastAsia="zh-TW"/>
        </w:rPr>
      </w:pPr>
      <w:hyperlink w:anchor="_Toc16206743" w:history="1">
        <w:r w:rsidR="005A4315" w:rsidRPr="0062432E">
          <w:rPr>
            <w:rStyle w:val="Hyperlink"/>
          </w:rPr>
          <w:t>CERTIFICATE II IN BUSINESS – BSB20115</w:t>
        </w:r>
        <w:r w:rsidR="005A4315">
          <w:rPr>
            <w:webHidden/>
          </w:rPr>
          <w:tab/>
        </w:r>
        <w:r w:rsidR="005A4315">
          <w:rPr>
            <w:webHidden/>
          </w:rPr>
          <w:fldChar w:fldCharType="begin"/>
        </w:r>
        <w:r w:rsidR="005A4315">
          <w:rPr>
            <w:webHidden/>
          </w:rPr>
          <w:instrText xml:space="preserve"> PAGEREF _Toc16206743 \h </w:instrText>
        </w:r>
        <w:r w:rsidR="005A4315">
          <w:rPr>
            <w:webHidden/>
          </w:rPr>
        </w:r>
        <w:r w:rsidR="005A4315">
          <w:rPr>
            <w:webHidden/>
          </w:rPr>
          <w:fldChar w:fldCharType="separate"/>
        </w:r>
        <w:r w:rsidR="00C618D0">
          <w:rPr>
            <w:webHidden/>
          </w:rPr>
          <w:t>77</w:t>
        </w:r>
        <w:r w:rsidR="005A4315">
          <w:rPr>
            <w:webHidden/>
          </w:rPr>
          <w:fldChar w:fldCharType="end"/>
        </w:r>
      </w:hyperlink>
    </w:p>
    <w:p w:rsidR="005A4315" w:rsidRDefault="00277264">
      <w:pPr>
        <w:pStyle w:val="TOC2"/>
        <w:rPr>
          <w:rFonts w:eastAsiaTheme="minorEastAsia" w:cstheme="minorBidi"/>
          <w:color w:val="auto"/>
          <w:sz w:val="22"/>
          <w:szCs w:val="22"/>
          <w:lang w:eastAsia="zh-TW"/>
        </w:rPr>
      </w:pPr>
      <w:hyperlink w:anchor="_Toc16206744" w:history="1">
        <w:r w:rsidR="005A4315" w:rsidRPr="0062432E">
          <w:rPr>
            <w:rStyle w:val="Hyperlink"/>
          </w:rPr>
          <w:t>ICT20115 – CERTIFICATE II IN INFORMATION, COMMUNICATION AND DIGITAL MEDIA</w:t>
        </w:r>
        <w:r w:rsidR="005A4315">
          <w:rPr>
            <w:webHidden/>
          </w:rPr>
          <w:tab/>
        </w:r>
        <w:r w:rsidR="005A4315">
          <w:rPr>
            <w:webHidden/>
          </w:rPr>
          <w:fldChar w:fldCharType="begin"/>
        </w:r>
        <w:r w:rsidR="005A4315">
          <w:rPr>
            <w:webHidden/>
          </w:rPr>
          <w:instrText xml:space="preserve"> PAGEREF _Toc16206744 \h </w:instrText>
        </w:r>
        <w:r w:rsidR="005A4315">
          <w:rPr>
            <w:webHidden/>
          </w:rPr>
        </w:r>
        <w:r w:rsidR="005A4315">
          <w:rPr>
            <w:webHidden/>
          </w:rPr>
          <w:fldChar w:fldCharType="separate"/>
        </w:r>
        <w:r w:rsidR="00C618D0">
          <w:rPr>
            <w:webHidden/>
          </w:rPr>
          <w:t>79</w:t>
        </w:r>
        <w:r w:rsidR="005A4315">
          <w:rPr>
            <w:webHidden/>
          </w:rPr>
          <w:fldChar w:fldCharType="end"/>
        </w:r>
      </w:hyperlink>
    </w:p>
    <w:p w:rsidR="005A4315" w:rsidRDefault="00277264">
      <w:pPr>
        <w:pStyle w:val="TOC2"/>
        <w:rPr>
          <w:rFonts w:eastAsiaTheme="minorEastAsia" w:cstheme="minorBidi"/>
          <w:color w:val="auto"/>
          <w:sz w:val="22"/>
          <w:szCs w:val="22"/>
          <w:lang w:eastAsia="zh-TW"/>
        </w:rPr>
      </w:pPr>
      <w:hyperlink w:anchor="_Toc16206745" w:history="1">
        <w:r w:rsidR="005A4315" w:rsidRPr="0062432E">
          <w:rPr>
            <w:rStyle w:val="Hyperlink"/>
          </w:rPr>
          <w:t>SIT20316 CERTIFICATE II IN HOSPITALITY</w:t>
        </w:r>
        <w:r w:rsidR="005A4315">
          <w:rPr>
            <w:webHidden/>
          </w:rPr>
          <w:tab/>
        </w:r>
        <w:r w:rsidR="005A4315">
          <w:rPr>
            <w:webHidden/>
          </w:rPr>
          <w:fldChar w:fldCharType="begin"/>
        </w:r>
        <w:r w:rsidR="005A4315">
          <w:rPr>
            <w:webHidden/>
          </w:rPr>
          <w:instrText xml:space="preserve"> PAGEREF _Toc16206745 \h </w:instrText>
        </w:r>
        <w:r w:rsidR="005A4315">
          <w:rPr>
            <w:webHidden/>
          </w:rPr>
        </w:r>
        <w:r w:rsidR="005A4315">
          <w:rPr>
            <w:webHidden/>
          </w:rPr>
          <w:fldChar w:fldCharType="separate"/>
        </w:r>
        <w:r w:rsidR="00C618D0">
          <w:rPr>
            <w:webHidden/>
          </w:rPr>
          <w:t>82</w:t>
        </w:r>
        <w:r w:rsidR="005A4315">
          <w:rPr>
            <w:webHidden/>
          </w:rPr>
          <w:fldChar w:fldCharType="end"/>
        </w:r>
      </w:hyperlink>
    </w:p>
    <w:p w:rsidR="005A4315" w:rsidRDefault="00277264">
      <w:pPr>
        <w:pStyle w:val="TOC2"/>
        <w:rPr>
          <w:rFonts w:eastAsiaTheme="minorEastAsia" w:cstheme="minorBidi"/>
          <w:color w:val="auto"/>
          <w:sz w:val="22"/>
          <w:szCs w:val="22"/>
          <w:lang w:eastAsia="zh-TW"/>
        </w:rPr>
      </w:pPr>
      <w:hyperlink w:anchor="_Toc16206746" w:history="1">
        <w:r w:rsidR="005A4315" w:rsidRPr="0062432E">
          <w:rPr>
            <w:rStyle w:val="Hyperlink"/>
            <w:rFonts w:eastAsia="Arial"/>
          </w:rPr>
          <w:t>SIS30315 CERTIFICATE III IN FITNESS</w:t>
        </w:r>
        <w:r w:rsidR="005A4315">
          <w:rPr>
            <w:webHidden/>
          </w:rPr>
          <w:tab/>
        </w:r>
        <w:r w:rsidR="005A4315">
          <w:rPr>
            <w:webHidden/>
          </w:rPr>
          <w:fldChar w:fldCharType="begin"/>
        </w:r>
        <w:r w:rsidR="005A4315">
          <w:rPr>
            <w:webHidden/>
          </w:rPr>
          <w:instrText xml:space="preserve"> PAGEREF _Toc16206746 \h </w:instrText>
        </w:r>
        <w:r w:rsidR="005A4315">
          <w:rPr>
            <w:webHidden/>
          </w:rPr>
        </w:r>
        <w:r w:rsidR="005A4315">
          <w:rPr>
            <w:webHidden/>
          </w:rPr>
          <w:fldChar w:fldCharType="separate"/>
        </w:r>
        <w:r w:rsidR="00C618D0">
          <w:rPr>
            <w:webHidden/>
          </w:rPr>
          <w:t>85</w:t>
        </w:r>
        <w:r w:rsidR="005A4315">
          <w:rPr>
            <w:webHidden/>
          </w:rPr>
          <w:fldChar w:fldCharType="end"/>
        </w:r>
      </w:hyperlink>
    </w:p>
    <w:p w:rsidR="006F1CD3" w:rsidRPr="005A4315" w:rsidRDefault="0095689C" w:rsidP="005A4315">
      <w:pPr>
        <w:pStyle w:val="TOCHeading"/>
        <w:spacing w:before="0"/>
        <w:rPr>
          <w:rFonts w:asciiTheme="minorHAnsi" w:hAnsiTheme="minorHAnsi" w:cs="Times New Roman"/>
          <w:noProof/>
          <w:color w:val="000000" w:themeColor="text1"/>
          <w:sz w:val="16"/>
          <w:szCs w:val="16"/>
        </w:rPr>
      </w:pPr>
      <w:r>
        <w:rPr>
          <w:rFonts w:asciiTheme="minorHAnsi" w:hAnsiTheme="minorHAnsi" w:cs="Times New Roman"/>
          <w:noProof/>
          <w:color w:val="000000" w:themeColor="text1"/>
          <w:sz w:val="16"/>
          <w:szCs w:val="16"/>
        </w:rPr>
        <w:fldChar w:fldCharType="end"/>
      </w:r>
      <w:bookmarkStart w:id="5" w:name="_Toc381954905"/>
      <w:bookmarkStart w:id="6" w:name="_Toc495675577"/>
      <w:bookmarkStart w:id="7" w:name="_Toc16163457"/>
      <w:r w:rsidR="006F1CD3">
        <w:br w:type="page"/>
      </w:r>
    </w:p>
    <w:p w:rsidR="007D190A" w:rsidRPr="003E3A66" w:rsidRDefault="00CC3487" w:rsidP="0095689C">
      <w:pPr>
        <w:pStyle w:val="TOCHeading"/>
        <w:spacing w:before="0"/>
      </w:pPr>
      <w:bookmarkStart w:id="8" w:name="_Toc16206713"/>
      <w:r w:rsidRPr="003E3A66">
        <w:lastRenderedPageBreak/>
        <w:t>Introduction</w:t>
      </w:r>
      <w:bookmarkEnd w:id="5"/>
      <w:bookmarkEnd w:id="6"/>
      <w:bookmarkEnd w:id="7"/>
      <w:bookmarkEnd w:id="8"/>
    </w:p>
    <w:p w:rsidR="007625F2" w:rsidRDefault="00AF041C" w:rsidP="00CC3487">
      <w:pPr>
        <w:pStyle w:val="BodyText"/>
      </w:pPr>
      <w:bookmarkStart w:id="9" w:name="_Toc381954906"/>
      <w:r>
        <w:t xml:space="preserve">The purpose of this </w:t>
      </w:r>
      <w:r w:rsidR="0012333B">
        <w:t xml:space="preserve">guide </w:t>
      </w:r>
      <w:r>
        <w:t>is to</w:t>
      </w:r>
      <w:r w:rsidR="0071785B">
        <w:fldChar w:fldCharType="begin"/>
      </w:r>
      <w:r w:rsidR="0071785B">
        <w:instrText xml:space="preserve">  </w:instrText>
      </w:r>
      <w:r w:rsidR="0071785B">
        <w:fldChar w:fldCharType="end"/>
      </w:r>
      <w:r>
        <w:t xml:space="preserve"> </w:t>
      </w:r>
      <w:r w:rsidR="00602D38">
        <w:t xml:space="preserve">support </w:t>
      </w:r>
      <w:r>
        <w:t xml:space="preserve">schools </w:t>
      </w:r>
      <w:r w:rsidR="002B598F">
        <w:t>through the provision of a resource that</w:t>
      </w:r>
      <w:r w:rsidR="00602D38">
        <w:t xml:space="preserve"> guide</w:t>
      </w:r>
      <w:r w:rsidR="002B598F">
        <w:t>s</w:t>
      </w:r>
      <w:r w:rsidR="00602D38">
        <w:t xml:space="preserve"> </w:t>
      </w:r>
      <w:r>
        <w:t xml:space="preserve">students and parents/carers in </w:t>
      </w:r>
      <w:r w:rsidR="00602D38">
        <w:t>Year</w:t>
      </w:r>
      <w:r w:rsidR="002B598F">
        <w:t>s</w:t>
      </w:r>
      <w:r w:rsidR="00602D38">
        <w:t xml:space="preserve"> 11 and 12</w:t>
      </w:r>
      <w:r w:rsidR="008764D2">
        <w:t xml:space="preserve"> subject selection</w:t>
      </w:r>
      <w:r>
        <w:t xml:space="preserve">. </w:t>
      </w:r>
      <w:r w:rsidR="008764D2">
        <w:t xml:space="preserve">It </w:t>
      </w:r>
      <w:r w:rsidR="007625F2">
        <w:t>includes a comprehensive list of all Queensland Curriculum and Assessment Authority (QCAA) subjects that form the basis of a school’s curriculum offerings.</w:t>
      </w:r>
      <w:r w:rsidR="007625F2" w:rsidRPr="007625F2">
        <w:t xml:space="preserve"> </w:t>
      </w:r>
    </w:p>
    <w:p w:rsidR="00602D38" w:rsidRDefault="00602D38" w:rsidP="00602D38">
      <w:pPr>
        <w:pStyle w:val="BodyText"/>
      </w:pPr>
      <w:r>
        <w:t>Schools design</w:t>
      </w:r>
      <w:r w:rsidR="00410E1E">
        <w:t xml:space="preserve"> </w:t>
      </w:r>
      <w:r>
        <w:t>curriculum program</w:t>
      </w:r>
      <w:r w:rsidR="00410E1E">
        <w:t>s</w:t>
      </w:r>
      <w:r>
        <w:t xml:space="preserve"> that provide a variety of opportunities for students whil</w:t>
      </w:r>
      <w:r w:rsidR="00410E1E">
        <w:t xml:space="preserve">e </w:t>
      </w:r>
      <w:r>
        <w:t xml:space="preserve">catering to </w:t>
      </w:r>
      <w:r w:rsidR="00410E1E">
        <w:t xml:space="preserve">individual schools’ </w:t>
      </w:r>
      <w:r>
        <w:t>contexts, resources, students</w:t>
      </w:r>
      <w:r w:rsidR="00410E1E">
        <w:t xml:space="preserve">’ pathways </w:t>
      </w:r>
      <w:r>
        <w:t xml:space="preserve">and community expectations. </w:t>
      </w:r>
    </w:p>
    <w:p w:rsidR="007625F2" w:rsidRDefault="007625F2" w:rsidP="00CC3487">
      <w:pPr>
        <w:pStyle w:val="BodyText"/>
      </w:pPr>
      <w:r w:rsidRPr="00B31136">
        <w:t xml:space="preserve">The information </w:t>
      </w:r>
      <w:r w:rsidR="00410E1E" w:rsidRPr="00B31136">
        <w:t xml:space="preserve">contained in this booklet </w:t>
      </w:r>
      <w:r w:rsidR="00602D38" w:rsidRPr="00B31136">
        <w:t>i</w:t>
      </w:r>
      <w:r w:rsidRPr="00B31136">
        <w:t>s a summary of the approved General, Applied, Senior External Examinations and Short Courses</w:t>
      </w:r>
      <w:r w:rsidR="00410E1E" w:rsidRPr="00B31136">
        <w:t xml:space="preserve"> syllabuses</w:t>
      </w:r>
      <w:r w:rsidR="00602D38" w:rsidRPr="00B31136">
        <w:t xml:space="preserve">. Schools </w:t>
      </w:r>
      <w:r w:rsidR="008764D2">
        <w:t xml:space="preserve">that </w:t>
      </w:r>
      <w:r w:rsidR="00602D38" w:rsidRPr="00B31136">
        <w:t xml:space="preserve">require further detail about any subject should access the syllabuses from the </w:t>
      </w:r>
      <w:r w:rsidR="002B598F" w:rsidRPr="001032F6">
        <w:t>QCAA</w:t>
      </w:r>
      <w:r w:rsidR="002B598F" w:rsidRPr="00B31136">
        <w:t xml:space="preserve"> </w:t>
      </w:r>
      <w:r w:rsidR="00602D38" w:rsidRPr="00B31136">
        <w:t>portal.</w:t>
      </w:r>
      <w:r w:rsidR="00602D38">
        <w:t xml:space="preserve"> </w:t>
      </w:r>
    </w:p>
    <w:p w:rsidR="00AF041C" w:rsidRDefault="00AF041C" w:rsidP="00CC3487">
      <w:pPr>
        <w:pStyle w:val="BodyText"/>
      </w:pPr>
      <w:r>
        <w:t xml:space="preserve">Before distribution, it is recommended that schools </w:t>
      </w:r>
      <w:r w:rsidR="002E07C4">
        <w:t>review, delete and add to the information to</w:t>
      </w:r>
      <w:r>
        <w:t xml:space="preserve"> personalise the </w:t>
      </w:r>
      <w:r w:rsidR="00981516">
        <w:t xml:space="preserve">subject guide </w:t>
      </w:r>
      <w:r>
        <w:t xml:space="preserve">for </w:t>
      </w:r>
      <w:r w:rsidR="002E07C4">
        <w:t>each</w:t>
      </w:r>
      <w:r>
        <w:t xml:space="preserve"> school context. </w:t>
      </w:r>
    </w:p>
    <w:p w:rsidR="00D6549A" w:rsidRPr="003E3A66" w:rsidRDefault="00D6549A" w:rsidP="003E3A66">
      <w:pPr>
        <w:pStyle w:val="Heading1"/>
      </w:pPr>
      <w:bookmarkStart w:id="10" w:name="_Toc475355635"/>
      <w:bookmarkStart w:id="11" w:name="_Toc487628892"/>
      <w:bookmarkStart w:id="12" w:name="_Toc495675578"/>
      <w:bookmarkStart w:id="13" w:name="_Toc16163458"/>
      <w:bookmarkStart w:id="14" w:name="_Toc16206714"/>
      <w:bookmarkStart w:id="15" w:name="_Toc492031458"/>
      <w:r w:rsidRPr="003E3A66">
        <w:t>Senior Education Profile</w:t>
      </w:r>
      <w:bookmarkEnd w:id="10"/>
      <w:bookmarkEnd w:id="11"/>
      <w:bookmarkEnd w:id="12"/>
      <w:bookmarkEnd w:id="13"/>
      <w:bookmarkEnd w:id="14"/>
    </w:p>
    <w:p w:rsidR="00D6549A" w:rsidRDefault="00D6549A" w:rsidP="00D6549A">
      <w:pPr>
        <w:pStyle w:val="BodyText"/>
      </w:pPr>
      <w:r>
        <w:t xml:space="preserve">Students in Queensland are issued with a </w:t>
      </w:r>
      <w:r w:rsidR="008A0611" w:rsidRPr="007B5B7F">
        <w:t>Senior Education Profile (SEP)</w:t>
      </w:r>
      <w:r>
        <w:t xml:space="preserve"> upon completion of senior studies. T</w:t>
      </w:r>
      <w:r w:rsidRPr="00DB752E">
        <w:t xml:space="preserve">his profile </w:t>
      </w:r>
      <w:r>
        <w:t>may</w:t>
      </w:r>
      <w:r w:rsidRPr="00DB752E">
        <w:t xml:space="preserve"> </w:t>
      </w:r>
      <w:r>
        <w:t>include a:</w:t>
      </w:r>
    </w:p>
    <w:p w:rsidR="007B5B7F" w:rsidRDefault="007B5B7F" w:rsidP="00D6549A">
      <w:pPr>
        <w:pStyle w:val="ListBullet0"/>
        <w:numPr>
          <w:ilvl w:val="0"/>
          <w:numId w:val="5"/>
        </w:numPr>
      </w:pPr>
      <w:r>
        <w:t xml:space="preserve">statement of results </w:t>
      </w:r>
    </w:p>
    <w:p w:rsidR="00D6549A" w:rsidRDefault="00D6549A" w:rsidP="00D6549A">
      <w:pPr>
        <w:pStyle w:val="ListBullet0"/>
        <w:numPr>
          <w:ilvl w:val="0"/>
          <w:numId w:val="5"/>
        </w:numPr>
      </w:pPr>
      <w:r>
        <w:t>Queensland Certificate of Education (QCE)</w:t>
      </w:r>
    </w:p>
    <w:p w:rsidR="00D6549A" w:rsidRDefault="00D6549A" w:rsidP="007B5B7F">
      <w:pPr>
        <w:pStyle w:val="ListBullet0"/>
        <w:numPr>
          <w:ilvl w:val="0"/>
          <w:numId w:val="5"/>
        </w:numPr>
      </w:pPr>
      <w:r>
        <w:t>Queensland Certificate of Individual Achievement (QCIA)</w:t>
      </w:r>
      <w:r w:rsidR="005426EA">
        <w:t>.</w:t>
      </w:r>
    </w:p>
    <w:p w:rsidR="00F10AD1" w:rsidRDefault="00F10AD1" w:rsidP="00F10AD1">
      <w:pPr>
        <w:pStyle w:val="BodyText"/>
      </w:pPr>
      <w:bookmarkStart w:id="16" w:name="_Toc475355638"/>
      <w:bookmarkStart w:id="17" w:name="_Toc487628894"/>
      <w:r>
        <w:t xml:space="preserve">For more information about the SEP see: </w:t>
      </w:r>
      <w:hyperlink r:id="rId14" w:history="1">
        <w:r w:rsidRPr="008A0611">
          <w:rPr>
            <w:rStyle w:val="Hyperlink"/>
          </w:rPr>
          <w:t>www.qcaa.qld.edu.au/senior/certificates-qualifications/sep</w:t>
        </w:r>
      </w:hyperlink>
      <w:r w:rsidR="001C6964">
        <w:t>.</w:t>
      </w:r>
    </w:p>
    <w:p w:rsidR="007B5B7F" w:rsidRPr="003E3A66" w:rsidRDefault="007B5B7F" w:rsidP="003E3A66">
      <w:pPr>
        <w:pStyle w:val="Heading2"/>
      </w:pPr>
      <w:bookmarkStart w:id="18" w:name="_Toc495675579"/>
      <w:bookmarkStart w:id="19" w:name="_Toc16163459"/>
      <w:bookmarkStart w:id="20" w:name="_Toc16206715"/>
      <w:r w:rsidRPr="003E3A66">
        <w:t>Statement of results</w:t>
      </w:r>
      <w:bookmarkEnd w:id="18"/>
      <w:bookmarkEnd w:id="19"/>
      <w:bookmarkEnd w:id="20"/>
      <w:r w:rsidRPr="003E3A66">
        <w:t xml:space="preserve"> </w:t>
      </w:r>
    </w:p>
    <w:p w:rsidR="007B5B7F" w:rsidRDefault="007B5B7F" w:rsidP="007B5B7F">
      <w:pPr>
        <w:pStyle w:val="BodyText"/>
      </w:pPr>
      <w:r>
        <w:t>Students are issued with a statement of results in the December following the completion of a QCAA-developed course of study. A new statement of results is issued to students after each QCAA-developed course of study is completed.</w:t>
      </w:r>
    </w:p>
    <w:p w:rsidR="007B5B7F" w:rsidRDefault="007B5B7F" w:rsidP="007B5B7F">
      <w:pPr>
        <w:pStyle w:val="BodyText"/>
      </w:pPr>
      <w:r>
        <w:t>A full record of study will be issued, along with the QCE qualification, in the first December or July after the student meets the requirements for a QCE.</w:t>
      </w:r>
    </w:p>
    <w:p w:rsidR="005426EA" w:rsidRPr="003E3A66" w:rsidRDefault="005426EA" w:rsidP="003E3A66">
      <w:pPr>
        <w:pStyle w:val="Heading2"/>
      </w:pPr>
      <w:bookmarkStart w:id="21" w:name="_Toc495675580"/>
      <w:bookmarkStart w:id="22" w:name="_Toc16163460"/>
      <w:bookmarkStart w:id="23" w:name="_Toc16206716"/>
      <w:r w:rsidRPr="003E3A66">
        <w:t>Queensland Certificate of Education (QCE)</w:t>
      </w:r>
      <w:bookmarkEnd w:id="21"/>
      <w:bookmarkEnd w:id="22"/>
      <w:bookmarkEnd w:id="23"/>
    </w:p>
    <w:p w:rsidR="00F10AD1" w:rsidRDefault="00F10AD1" w:rsidP="00F10AD1">
      <w:pPr>
        <w:pStyle w:val="BodyText"/>
      </w:pPr>
      <w:r>
        <w:t>Students may be eligible for a Queensland Certificate of Education (QCE) at the end of their senior schooling. Students who do not meet the QCE requirements can continue to work towards the certificate post-secondary schooling. The QCAA awards a QCE in the following July or December, once a student becomes eligible. Learning accounts are closed after nine years; however, a student may apply to the QCAA to have the account reopened and all credit continued.</w:t>
      </w:r>
    </w:p>
    <w:p w:rsidR="005426EA" w:rsidRPr="00C23541" w:rsidRDefault="005426EA" w:rsidP="00C23541">
      <w:pPr>
        <w:pStyle w:val="Heading2"/>
      </w:pPr>
      <w:bookmarkStart w:id="24" w:name="_Toc495675581"/>
      <w:bookmarkStart w:id="25" w:name="_Toc16163461"/>
      <w:bookmarkStart w:id="26" w:name="_Toc16206717"/>
      <w:r w:rsidRPr="00C23541">
        <w:t>Queensland Certificate of Individual Achievement (QCIA)</w:t>
      </w:r>
      <w:bookmarkEnd w:id="24"/>
      <w:bookmarkEnd w:id="25"/>
      <w:bookmarkEnd w:id="26"/>
    </w:p>
    <w:p w:rsidR="00F10AD1" w:rsidRDefault="00F10AD1">
      <w:pPr>
        <w:pStyle w:val="BodyText"/>
      </w:pPr>
      <w:r w:rsidRPr="00F10AD1">
        <w:t xml:space="preserve">The Queensland Certificate of Individual Achievement (QCIA) reports the learning achievements of eligible students who complete an individual learning program. At the end of the senior phase of learning, eligible students achieve a QCIA. These students have the option of continuing to work towards a QCE post-secondary schooling. </w:t>
      </w:r>
    </w:p>
    <w:p w:rsidR="00CC3487" w:rsidRPr="003E3A66" w:rsidRDefault="00CC3487" w:rsidP="003E3A66">
      <w:pPr>
        <w:pStyle w:val="Heading1"/>
      </w:pPr>
      <w:bookmarkStart w:id="27" w:name="_Toc495675582"/>
      <w:bookmarkStart w:id="28" w:name="_Toc16163462"/>
      <w:bookmarkStart w:id="29" w:name="_Toc16206718"/>
      <w:bookmarkEnd w:id="15"/>
      <w:bookmarkEnd w:id="16"/>
      <w:bookmarkEnd w:id="17"/>
      <w:r w:rsidRPr="003E3A66">
        <w:t>Senior subjects</w:t>
      </w:r>
      <w:bookmarkEnd w:id="27"/>
      <w:bookmarkEnd w:id="28"/>
      <w:bookmarkEnd w:id="29"/>
    </w:p>
    <w:p w:rsidR="00216E33" w:rsidRDefault="001F2137" w:rsidP="00216E33">
      <w:pPr>
        <w:pStyle w:val="BodyText"/>
      </w:pPr>
      <w:r>
        <w:t xml:space="preserve">The QCAA develops four types of senior subject syllabuses — </w:t>
      </w:r>
      <w:bookmarkStart w:id="30" w:name="_Hlk493233394"/>
      <w:r>
        <w:t xml:space="preserve">General, Applied, </w:t>
      </w:r>
      <w:bookmarkStart w:id="31" w:name="_Hlk492640896"/>
      <w:r>
        <w:t xml:space="preserve">Senior External Examinations </w:t>
      </w:r>
      <w:bookmarkEnd w:id="31"/>
      <w:r>
        <w:t>and Short Courses.</w:t>
      </w:r>
      <w:bookmarkEnd w:id="30"/>
      <w:r>
        <w:t xml:space="preserve"> </w:t>
      </w:r>
      <w:r w:rsidRPr="00A41F79">
        <w:t>Results in</w:t>
      </w:r>
      <w:r>
        <w:t xml:space="preserve"> General</w:t>
      </w:r>
      <w:r w:rsidR="00B31136">
        <w:t xml:space="preserve"> </w:t>
      </w:r>
      <w:r w:rsidR="00216E33">
        <w:t xml:space="preserve">and </w:t>
      </w:r>
      <w:r>
        <w:t>Applied subjects</w:t>
      </w:r>
      <w:r w:rsidRPr="00A41F79">
        <w:t xml:space="preserve"> </w:t>
      </w:r>
      <w:r w:rsidR="00216E33">
        <w:t xml:space="preserve">contribute to the award of a QCE and may </w:t>
      </w:r>
      <w:r w:rsidR="00216E33" w:rsidRPr="00F670E4">
        <w:t xml:space="preserve">contribute to </w:t>
      </w:r>
      <w:r w:rsidR="00216E33">
        <w:t xml:space="preserve">an </w:t>
      </w:r>
      <w:r w:rsidR="00216E33" w:rsidRPr="00FA7D46">
        <w:t>Australian Tertiary Admis</w:t>
      </w:r>
      <w:r w:rsidR="00216E33">
        <w:t xml:space="preserve">sion Rank (ATAR) calculation, </w:t>
      </w:r>
      <w:r w:rsidR="00216E33" w:rsidRPr="00281AEA">
        <w:t xml:space="preserve">although no more than one result in an </w:t>
      </w:r>
      <w:r w:rsidR="00216E33">
        <w:t>A</w:t>
      </w:r>
      <w:r w:rsidR="00216E33" w:rsidRPr="00281AEA">
        <w:t>pplied subject can be used in the c</w:t>
      </w:r>
      <w:r w:rsidR="00216E33">
        <w:t>alculation of a student’s ATAR.</w:t>
      </w:r>
    </w:p>
    <w:p w:rsidR="00216E33" w:rsidRDefault="00216E33" w:rsidP="00216E33">
      <w:pPr>
        <w:pStyle w:val="BodyText"/>
      </w:pPr>
      <w:r>
        <w:t xml:space="preserve">Extension subjects are </w:t>
      </w:r>
      <w:r w:rsidRPr="00BA62EA">
        <w:t>extension</w:t>
      </w:r>
      <w:r>
        <w:t>s</w:t>
      </w:r>
      <w:r w:rsidRPr="00BA62EA">
        <w:t xml:space="preserve"> of the </w:t>
      </w:r>
      <w:r>
        <w:t>related G</w:t>
      </w:r>
      <w:r w:rsidRPr="00BA62EA">
        <w:t xml:space="preserve">eneral </w:t>
      </w:r>
      <w:r>
        <w:t xml:space="preserve">subjects and are </w:t>
      </w:r>
      <w:r w:rsidRPr="00BA62EA">
        <w:t xml:space="preserve">studied </w:t>
      </w:r>
      <w:r>
        <w:t>either concurrently with, or after, Units 3 and 4 of the General course.</w:t>
      </w:r>
    </w:p>
    <w:p w:rsidR="00216E33" w:rsidRPr="00EB51C6" w:rsidRDefault="00216E33" w:rsidP="00216E33">
      <w:pPr>
        <w:rPr>
          <w:color w:val="000000" w:themeColor="text1"/>
          <w:lang w:val="en-US"/>
        </w:rPr>
      </w:pPr>
      <w:r w:rsidRPr="00EB51C6">
        <w:rPr>
          <w:color w:val="000000" w:themeColor="text1"/>
          <w:lang w:val="en-US"/>
        </w:rPr>
        <w:t>Typically, it is expected that most students will complete these courses across Years 11 and 12. All subjects build on the P–10 Australian Curriculum.</w:t>
      </w:r>
    </w:p>
    <w:p w:rsidR="001F2137" w:rsidRPr="00E31064" w:rsidRDefault="001F2137">
      <w:pPr>
        <w:pStyle w:val="Heading3"/>
      </w:pPr>
      <w:bookmarkStart w:id="32" w:name="_Toc16163463"/>
      <w:r w:rsidRPr="00E31064">
        <w:t>General</w:t>
      </w:r>
      <w:r>
        <w:t xml:space="preserve"> syllabuses</w:t>
      </w:r>
      <w:bookmarkEnd w:id="32"/>
      <w:r>
        <w:t xml:space="preserve"> </w:t>
      </w:r>
    </w:p>
    <w:p w:rsidR="001F2137" w:rsidRPr="001B7F09" w:rsidRDefault="001F2137" w:rsidP="001F2137">
      <w:pPr>
        <w:pStyle w:val="BodyText"/>
      </w:pPr>
      <w:r w:rsidRPr="001B7F09">
        <w:t xml:space="preserve">General subjects are suited to students who are interested in pathways beyond </w:t>
      </w:r>
      <w:r>
        <w:t>senior secondary</w:t>
      </w:r>
      <w:r w:rsidRPr="001B7F09">
        <w:t xml:space="preserve"> </w:t>
      </w:r>
      <w:r>
        <w:t xml:space="preserve">schooling </w:t>
      </w:r>
      <w:r w:rsidRPr="001B7F09">
        <w:t xml:space="preserve">that lead primarily to tertiary studies and </w:t>
      </w:r>
      <w:r>
        <w:t xml:space="preserve">to </w:t>
      </w:r>
      <w:r w:rsidRPr="001B7F09">
        <w:t>pathways for vocational education and training and work.</w:t>
      </w:r>
      <w:r>
        <w:t xml:space="preserve"> General subjects include Extension subjects.</w:t>
      </w:r>
    </w:p>
    <w:p w:rsidR="001F2137" w:rsidRPr="00E31064" w:rsidRDefault="001F2137">
      <w:pPr>
        <w:pStyle w:val="Heading3"/>
      </w:pPr>
      <w:bookmarkStart w:id="33" w:name="_Toc16163464"/>
      <w:r w:rsidRPr="00E31064">
        <w:t>Applied</w:t>
      </w:r>
      <w:r>
        <w:t xml:space="preserve"> syllabuses</w:t>
      </w:r>
      <w:bookmarkEnd w:id="33"/>
      <w:r>
        <w:t xml:space="preserve"> </w:t>
      </w:r>
    </w:p>
    <w:p w:rsidR="001F2137" w:rsidRDefault="001F2137" w:rsidP="001F2137">
      <w:pPr>
        <w:pStyle w:val="BodyText"/>
      </w:pPr>
      <w:r>
        <w:t xml:space="preserve">Applied </w:t>
      </w:r>
      <w:r w:rsidRPr="00580357">
        <w:t xml:space="preserve">subjects are suited to students who are </w:t>
      </w:r>
      <w:r>
        <w:t xml:space="preserve">primarily </w:t>
      </w:r>
      <w:r w:rsidRPr="00580357">
        <w:t xml:space="preserve">interested in pathways beyond </w:t>
      </w:r>
      <w:r>
        <w:t xml:space="preserve">senior secondary schooling </w:t>
      </w:r>
      <w:r w:rsidRPr="00580357">
        <w:t>that lead to vocational education</w:t>
      </w:r>
      <w:r>
        <w:t xml:space="preserve"> and training</w:t>
      </w:r>
      <w:r w:rsidRPr="00580357">
        <w:t xml:space="preserve"> or work.</w:t>
      </w:r>
    </w:p>
    <w:p w:rsidR="00EA70D7" w:rsidRDefault="00EA70D7" w:rsidP="008C3C06">
      <w:pPr>
        <w:pStyle w:val="Heading3"/>
      </w:pPr>
      <w:bookmarkStart w:id="34" w:name="_Toc16163465"/>
      <w:bookmarkStart w:id="35" w:name="_Toc474921939"/>
      <w:bookmarkStart w:id="36" w:name="_Toc477325329"/>
      <w:bookmarkStart w:id="37" w:name="_Toc483551910"/>
      <w:r w:rsidRPr="00B76239">
        <w:t>Senior External Exami</w:t>
      </w:r>
      <w:r>
        <w:t>natio</w:t>
      </w:r>
      <w:r w:rsidR="007B5B7F">
        <w:t>n</w:t>
      </w:r>
      <w:bookmarkEnd w:id="34"/>
    </w:p>
    <w:p w:rsidR="00216E33" w:rsidRPr="00866457" w:rsidRDefault="007B5B7F" w:rsidP="00216E33">
      <w:pPr>
        <w:pStyle w:val="BodyText"/>
      </w:pPr>
      <w:r>
        <w:t xml:space="preserve">The </w:t>
      </w:r>
      <w:r w:rsidR="00216E33" w:rsidRPr="00866457">
        <w:t>Senior External Examination consist</w:t>
      </w:r>
      <w:r w:rsidR="00C0266E">
        <w:t>s</w:t>
      </w:r>
      <w:r w:rsidR="00216E33" w:rsidRPr="00866457">
        <w:t xml:space="preserve"> of</w:t>
      </w:r>
      <w:r w:rsidR="00216E33">
        <w:t xml:space="preserve"> </w:t>
      </w:r>
      <w:r w:rsidR="00216E33" w:rsidRPr="00866457">
        <w:t>individual subject examinations provided across Queensland in October and November each year by the QCA</w:t>
      </w:r>
      <w:r w:rsidR="00B45F23">
        <w:t>A</w:t>
      </w:r>
      <w:r w:rsidR="00216E33" w:rsidRPr="00866457">
        <w:t>.</w:t>
      </w:r>
    </w:p>
    <w:p w:rsidR="00325B13" w:rsidRPr="00325B13" w:rsidRDefault="00226E53">
      <w:pPr>
        <w:pStyle w:val="Heading3"/>
      </w:pPr>
      <w:bookmarkStart w:id="38" w:name="_Toc16163466"/>
      <w:r w:rsidRPr="00E31064">
        <w:t xml:space="preserve">Short </w:t>
      </w:r>
      <w:r>
        <w:t>C</w:t>
      </w:r>
      <w:r w:rsidRPr="00E31064">
        <w:t>ourse</w:t>
      </w:r>
      <w:r w:rsidR="00123CCA">
        <w:t>s</w:t>
      </w:r>
      <w:bookmarkEnd w:id="38"/>
    </w:p>
    <w:p w:rsidR="007F633A" w:rsidRDefault="007F633A" w:rsidP="007F633A">
      <w:pPr>
        <w:pStyle w:val="BodyText"/>
      </w:pPr>
      <w:bookmarkStart w:id="39" w:name="_Hlk492646452"/>
      <w:r>
        <w:t xml:space="preserve">Short Courses are developed to meet a specific curriculum need and are suited to students who are interested in pathways beyond senior secondary schooling that lead to vocational education and training and establish a basis for further education and employment. They are informed by, and articulate closely with, the requirements of the </w:t>
      </w:r>
      <w:r w:rsidRPr="007F633A">
        <w:t>Australian Core Skills Framework (ACSF).</w:t>
      </w:r>
      <w:r>
        <w:t xml:space="preserve"> A grade of C in Short Courses aligns with the requirements for ACSF Level 3.</w:t>
      </w:r>
    </w:p>
    <w:p w:rsidR="00B650A3" w:rsidRDefault="00123CCA" w:rsidP="00B650A3">
      <w:pPr>
        <w:pStyle w:val="BodyText"/>
      </w:pPr>
      <w:bookmarkStart w:id="40" w:name="_Hlk495499733"/>
      <w:r>
        <w:t xml:space="preserve">For more information about the ACSF see: </w:t>
      </w:r>
      <w:r w:rsidRPr="00123CCA">
        <w:t>https://www.education.gov.au/australian-core-skills-framework</w:t>
      </w:r>
      <w:r w:rsidR="00FD6C53">
        <w:t>.</w:t>
      </w:r>
    </w:p>
    <w:p w:rsidR="002E7CAE" w:rsidRDefault="002E7CAE" w:rsidP="008C3C06">
      <w:pPr>
        <w:pStyle w:val="Heading2"/>
      </w:pPr>
      <w:bookmarkStart w:id="41" w:name="_Toc495675583"/>
      <w:bookmarkStart w:id="42" w:name="_Toc16163467"/>
      <w:bookmarkStart w:id="43" w:name="_Toc16206719"/>
      <w:bookmarkEnd w:id="35"/>
      <w:bookmarkEnd w:id="36"/>
      <w:bookmarkEnd w:id="37"/>
      <w:bookmarkEnd w:id="39"/>
      <w:bookmarkEnd w:id="40"/>
      <w:r>
        <w:t>Underpinning factors</w:t>
      </w:r>
      <w:bookmarkEnd w:id="41"/>
      <w:bookmarkEnd w:id="42"/>
      <w:bookmarkEnd w:id="43"/>
      <w:r>
        <w:t xml:space="preserve"> </w:t>
      </w:r>
    </w:p>
    <w:p w:rsidR="00226E53" w:rsidRDefault="00226E53" w:rsidP="002E7CAE">
      <w:pPr>
        <w:pStyle w:val="Bodytextlead-in"/>
      </w:pPr>
      <w:r>
        <w:t>All senior syllabuses are underpinned by:</w:t>
      </w:r>
    </w:p>
    <w:p w:rsidR="00226E53" w:rsidRPr="00DD2B47" w:rsidRDefault="00226E53" w:rsidP="00226E53">
      <w:pPr>
        <w:pStyle w:val="ListBullet0"/>
      </w:pPr>
      <w:r w:rsidRPr="00DD2B47">
        <w:t>literacy — the set of knowledge and skills about language and texts essential for unde</w:t>
      </w:r>
      <w:r>
        <w:t xml:space="preserve">rstanding and conveying </w:t>
      </w:r>
      <w:r w:rsidRPr="00DD2B47">
        <w:t>content</w:t>
      </w:r>
    </w:p>
    <w:p w:rsidR="00226E53" w:rsidRPr="00DD2B47" w:rsidRDefault="00226E53" w:rsidP="00226E53">
      <w:pPr>
        <w:pStyle w:val="ListBullet0"/>
      </w:pPr>
      <w:r w:rsidRPr="00DD2B47">
        <w:t>numeracy — the knowledge, skills, behaviours and dispositions that students need to use mathematics in a wide range of situations, to recognise and understand the role of mathematics in the world, and to develop the dispositions and capacities to use mathematical knowledge and skills purposefully</w:t>
      </w:r>
      <w:r w:rsidR="005E79BB">
        <w:t>.</w:t>
      </w:r>
    </w:p>
    <w:p w:rsidR="00226E53" w:rsidRDefault="00226E53" w:rsidP="008C3C06">
      <w:pPr>
        <w:pStyle w:val="Heading3"/>
      </w:pPr>
      <w:bookmarkStart w:id="44" w:name="_Toc16163468"/>
      <w:r>
        <w:t>General syllabuses</w:t>
      </w:r>
      <w:r w:rsidR="001A396D">
        <w:t xml:space="preserve"> and Short Courses</w:t>
      </w:r>
      <w:bookmarkEnd w:id="44"/>
    </w:p>
    <w:p w:rsidR="00226E53" w:rsidRDefault="00226E53" w:rsidP="008C3C06">
      <w:pPr>
        <w:pStyle w:val="Bodytextlead-in"/>
      </w:pPr>
      <w:r>
        <w:t>In addition to literacy and numeracy</w:t>
      </w:r>
      <w:r w:rsidR="001C4848">
        <w:t>,</w:t>
      </w:r>
      <w:r>
        <w:t xml:space="preserve"> General syllabuses </w:t>
      </w:r>
      <w:r w:rsidR="001A396D">
        <w:t xml:space="preserve">and Short Courses </w:t>
      </w:r>
      <w:r>
        <w:t>are underpinned by</w:t>
      </w:r>
      <w:r w:rsidR="00CB3886">
        <w:t xml:space="preserve">: </w:t>
      </w:r>
    </w:p>
    <w:p w:rsidR="002E7CAE" w:rsidRDefault="00CB3886" w:rsidP="00B76239">
      <w:pPr>
        <w:pStyle w:val="ListBullet0"/>
      </w:pPr>
      <w:r w:rsidRPr="00DD2B47">
        <w:t xml:space="preserve">21st century skills </w:t>
      </w:r>
      <w:r>
        <w:t xml:space="preserve">— </w:t>
      </w:r>
      <w:r w:rsidR="002E7CAE" w:rsidRPr="00DD2B47">
        <w:t>the attributes and skills students need to prepare them for higher education, work and engagement in a complex and rapidly changing world</w:t>
      </w:r>
      <w:r>
        <w:t xml:space="preserve">. These include critical thinking, creative thinking, communication, collaboration and teamwork, personal and social skills, </w:t>
      </w:r>
      <w:r w:rsidR="00352125">
        <w:t xml:space="preserve">and </w:t>
      </w:r>
      <w:r>
        <w:t>information &amp; communication technologies (ICT) skills.</w:t>
      </w:r>
    </w:p>
    <w:p w:rsidR="001D7765" w:rsidRPr="00DD2B47" w:rsidRDefault="005A4315" w:rsidP="005A4315">
      <w:pPr>
        <w:pStyle w:val="ListBullet0"/>
        <w:numPr>
          <w:ilvl w:val="0"/>
          <w:numId w:val="0"/>
        </w:numPr>
        <w:tabs>
          <w:tab w:val="left" w:pos="1932"/>
        </w:tabs>
        <w:ind w:left="284" w:hanging="284"/>
      </w:pPr>
      <w:r>
        <w:tab/>
      </w:r>
      <w:r>
        <w:tab/>
      </w:r>
    </w:p>
    <w:p w:rsidR="00226E53" w:rsidRDefault="00226E53" w:rsidP="008C3C06">
      <w:pPr>
        <w:pStyle w:val="Heading3"/>
      </w:pPr>
      <w:bookmarkStart w:id="45" w:name="_Toc16163469"/>
      <w:r>
        <w:t>Applied syllabuses</w:t>
      </w:r>
      <w:bookmarkEnd w:id="45"/>
      <w:r>
        <w:t xml:space="preserve"> </w:t>
      </w:r>
    </w:p>
    <w:p w:rsidR="00226E53" w:rsidRDefault="00226E53" w:rsidP="008C3C06">
      <w:pPr>
        <w:pStyle w:val="BodyText"/>
      </w:pPr>
      <w:r>
        <w:t>In addition to literacy and numeracy</w:t>
      </w:r>
      <w:r w:rsidR="001C4848">
        <w:t>,</w:t>
      </w:r>
      <w:r>
        <w:t xml:space="preserve"> Applied syllabuses are underpinned by:</w:t>
      </w:r>
    </w:p>
    <w:p w:rsidR="00226E53" w:rsidRDefault="00226E53" w:rsidP="00226E53">
      <w:pPr>
        <w:pStyle w:val="ListBullet0"/>
      </w:pPr>
      <w:r>
        <w:t xml:space="preserve">applied </w:t>
      </w:r>
      <w:r w:rsidR="00CB3886">
        <w:t>learning —</w:t>
      </w:r>
      <w:r>
        <w:t xml:space="preserve"> </w:t>
      </w:r>
      <w:r w:rsidR="00CB3886">
        <w:t xml:space="preserve">the </w:t>
      </w:r>
      <w:r w:rsidRPr="00226E53">
        <w:t>acquisition and application of knowledge, understanding and skills in real-world or lifelike contexts</w:t>
      </w:r>
    </w:p>
    <w:p w:rsidR="00CB3886" w:rsidRDefault="00226E53" w:rsidP="008C3C06">
      <w:pPr>
        <w:pStyle w:val="ListBullet0"/>
      </w:pPr>
      <w:r>
        <w:t xml:space="preserve">community connections — </w:t>
      </w:r>
      <w:r w:rsidR="00CB3886">
        <w:t xml:space="preserve">the </w:t>
      </w:r>
      <w:r w:rsidR="00CB3886" w:rsidRPr="00CB3886">
        <w:t>awareness and understanding of life beyond school through authentic, real-world interactions</w:t>
      </w:r>
      <w:r w:rsidR="00CB3886">
        <w:t xml:space="preserve"> by </w:t>
      </w:r>
      <w:r>
        <w:t>connect</w:t>
      </w:r>
      <w:r w:rsidR="00CB3886">
        <w:t>ing</w:t>
      </w:r>
      <w:r>
        <w:t xml:space="preserve"> classroom experience with the world outside the classroom</w:t>
      </w:r>
    </w:p>
    <w:p w:rsidR="00224115" w:rsidRDefault="00224115" w:rsidP="002D4C68">
      <w:pPr>
        <w:pStyle w:val="ListBullet0"/>
      </w:pPr>
      <w:r w:rsidRPr="00224115">
        <w:t>core skills for work — the set of knowledge, understanding and non-technical skills that underpin successful participation in work.</w:t>
      </w:r>
    </w:p>
    <w:p w:rsidR="0076583C" w:rsidRPr="00E31064" w:rsidRDefault="0076583C" w:rsidP="008C3C06">
      <w:pPr>
        <w:pStyle w:val="Heading2"/>
      </w:pPr>
      <w:bookmarkStart w:id="46" w:name="_Toc495675584"/>
      <w:bookmarkStart w:id="47" w:name="_Toc16163470"/>
      <w:bookmarkStart w:id="48" w:name="_Toc16206720"/>
      <w:r w:rsidRPr="00B76A83">
        <w:t>Vocational education and training (VET)</w:t>
      </w:r>
      <w:bookmarkEnd w:id="46"/>
      <w:bookmarkEnd w:id="47"/>
      <w:bookmarkEnd w:id="48"/>
    </w:p>
    <w:p w:rsidR="00B31136" w:rsidRDefault="00403E2E" w:rsidP="00403E2E">
      <w:pPr>
        <w:pStyle w:val="ListBullet0"/>
        <w:numPr>
          <w:ilvl w:val="0"/>
          <w:numId w:val="0"/>
        </w:numPr>
      </w:pPr>
      <w:r w:rsidRPr="00A45830">
        <w:t xml:space="preserve">Students can access VET </w:t>
      </w:r>
      <w:r>
        <w:t xml:space="preserve">programs </w:t>
      </w:r>
      <w:r w:rsidRPr="00A45830">
        <w:t>through the school</w:t>
      </w:r>
      <w:r w:rsidR="00150FB8">
        <w:t xml:space="preserve"> if it</w:t>
      </w:r>
      <w:r w:rsidR="00B31136">
        <w:t>:</w:t>
      </w:r>
    </w:p>
    <w:p w:rsidR="00B31136" w:rsidRPr="007164AE" w:rsidRDefault="00403E2E" w:rsidP="007164AE">
      <w:pPr>
        <w:pStyle w:val="ListBullet0"/>
      </w:pPr>
      <w:r w:rsidRPr="007164AE">
        <w:t>is a</w:t>
      </w:r>
      <w:r w:rsidR="005D79B6" w:rsidRPr="007164AE">
        <w:t xml:space="preserve"> registered training organisation</w:t>
      </w:r>
      <w:r w:rsidRPr="007164AE">
        <w:t xml:space="preserve"> </w:t>
      </w:r>
      <w:r w:rsidR="005D79B6" w:rsidRPr="007164AE">
        <w:t>(</w:t>
      </w:r>
      <w:r w:rsidRPr="007164AE">
        <w:t>RTO</w:t>
      </w:r>
      <w:r w:rsidR="005D79B6" w:rsidRPr="007164AE">
        <w:t>)</w:t>
      </w:r>
    </w:p>
    <w:p w:rsidR="00B31136" w:rsidRPr="007164AE" w:rsidRDefault="00B31136" w:rsidP="007164AE">
      <w:pPr>
        <w:pStyle w:val="ListBullet0"/>
      </w:pPr>
      <w:r w:rsidRPr="007164AE">
        <w:t>has a third</w:t>
      </w:r>
      <w:r w:rsidR="00C65A04" w:rsidRPr="007164AE">
        <w:t>-</w:t>
      </w:r>
      <w:r w:rsidRPr="007164AE">
        <w:t xml:space="preserve">party arrangement with </w:t>
      </w:r>
      <w:r w:rsidR="00403E2E" w:rsidRPr="007164AE">
        <w:t>an external provider who is an RTO</w:t>
      </w:r>
    </w:p>
    <w:p w:rsidR="00150FB8" w:rsidRPr="007164AE" w:rsidRDefault="00150FB8" w:rsidP="007164AE">
      <w:pPr>
        <w:pStyle w:val="ListBullet0"/>
      </w:pPr>
      <w:r w:rsidRPr="007164AE">
        <w:t>offers opportunities for students to undertake</w:t>
      </w:r>
      <w:r w:rsidR="00403E2E" w:rsidRPr="007164AE">
        <w:t xml:space="preserve"> school-based apprenticeship</w:t>
      </w:r>
      <w:r w:rsidRPr="007164AE">
        <w:t>s</w:t>
      </w:r>
      <w:r w:rsidR="00403E2E" w:rsidRPr="007164AE">
        <w:t xml:space="preserve"> or traineeship</w:t>
      </w:r>
      <w:r w:rsidRPr="007164AE">
        <w:t>s</w:t>
      </w:r>
      <w:r w:rsidR="00403E2E" w:rsidRPr="007164AE">
        <w:t xml:space="preserve">. </w:t>
      </w:r>
    </w:p>
    <w:p w:rsidR="00B31136" w:rsidRDefault="00150FB8" w:rsidP="001032F6">
      <w:pPr>
        <w:pStyle w:val="Heading2"/>
      </w:pPr>
      <w:bookmarkStart w:id="49" w:name="_Toc495675585"/>
      <w:bookmarkStart w:id="50" w:name="_Toc16163471"/>
      <w:bookmarkStart w:id="51" w:name="_Toc16206721"/>
      <w:r>
        <w:t xml:space="preserve">Australian Tertiary Admission Rank </w:t>
      </w:r>
      <w:r w:rsidR="00167EBB">
        <w:t xml:space="preserve">(ATAR) </w:t>
      </w:r>
      <w:r w:rsidR="00B31136">
        <w:t>eligibility</w:t>
      </w:r>
      <w:bookmarkEnd w:id="49"/>
      <w:bookmarkEnd w:id="50"/>
      <w:bookmarkEnd w:id="51"/>
    </w:p>
    <w:p w:rsidR="00325B13" w:rsidRPr="00150FB8" w:rsidRDefault="008F12F1" w:rsidP="00325B13">
      <w:pPr>
        <w:pStyle w:val="BodyText"/>
      </w:pPr>
      <w:r>
        <w:t xml:space="preserve">The calculation of an </w:t>
      </w:r>
      <w:r w:rsidR="00325B13">
        <w:t xml:space="preserve">Australian Tertiary Admission Rank (ATAR) </w:t>
      </w:r>
      <w:r>
        <w:t>will be based on a student’s</w:t>
      </w:r>
      <w:r w:rsidR="00325B13">
        <w:t>:</w:t>
      </w:r>
    </w:p>
    <w:p w:rsidR="00325B13" w:rsidRPr="00325B13" w:rsidRDefault="008F12F1" w:rsidP="00C65A04">
      <w:pPr>
        <w:pStyle w:val="ListBullet0"/>
      </w:pPr>
      <w:r>
        <w:t>b</w:t>
      </w:r>
      <w:r w:rsidR="00325B13">
        <w:t xml:space="preserve">est </w:t>
      </w:r>
      <w:r w:rsidR="00325B13" w:rsidRPr="00325B13">
        <w:t xml:space="preserve">five General </w:t>
      </w:r>
      <w:r w:rsidR="00325B13">
        <w:t>subject results or</w:t>
      </w:r>
    </w:p>
    <w:p w:rsidR="00325B13" w:rsidRDefault="00325B13" w:rsidP="00C65A04">
      <w:pPr>
        <w:pStyle w:val="ListBullet0"/>
      </w:pPr>
      <w:r w:rsidRPr="00325B13">
        <w:t>best results in a combination o</w:t>
      </w:r>
      <w:r>
        <w:t xml:space="preserve">f four General subject results </w:t>
      </w:r>
      <w:r w:rsidRPr="00325B13">
        <w:t>plus</w:t>
      </w:r>
      <w:r>
        <w:t xml:space="preserve"> </w:t>
      </w:r>
      <w:r w:rsidRPr="00325B13">
        <w:t xml:space="preserve">an </w:t>
      </w:r>
      <w:r w:rsidR="00B650A3">
        <w:t>A</w:t>
      </w:r>
      <w:r w:rsidRPr="00325B13">
        <w:t>pplied subject result</w:t>
      </w:r>
      <w:r>
        <w:t xml:space="preserve"> or a Certificate III or higher VET qualification</w:t>
      </w:r>
      <w:r w:rsidR="008F12F1">
        <w:t>.</w:t>
      </w:r>
    </w:p>
    <w:p w:rsidR="001C2645" w:rsidRDefault="001C2645" w:rsidP="001C2645">
      <w:pPr>
        <w:pStyle w:val="BodyText"/>
      </w:pPr>
      <w:r>
        <w:t>The Queensland Tertiary Admissions Centre (QTAC) has responsibility for ATAR calculations.</w:t>
      </w:r>
    </w:p>
    <w:p w:rsidR="00325B13" w:rsidRDefault="008F12F1" w:rsidP="00C65A04">
      <w:pPr>
        <w:pStyle w:val="Heading3"/>
      </w:pPr>
      <w:bookmarkStart w:id="52" w:name="_Toc16163472"/>
      <w:r>
        <w:t xml:space="preserve">English </w:t>
      </w:r>
      <w:r w:rsidR="00325B13">
        <w:t>requirement</w:t>
      </w:r>
      <w:bookmarkEnd w:id="52"/>
      <w:r w:rsidR="00325B13">
        <w:t xml:space="preserve"> </w:t>
      </w:r>
    </w:p>
    <w:p w:rsidR="00325B13" w:rsidRPr="00325B13" w:rsidRDefault="00325B13" w:rsidP="00C65A04">
      <w:pPr>
        <w:pStyle w:val="BodyText"/>
      </w:pPr>
      <w:r>
        <w:t>E</w:t>
      </w:r>
      <w:r w:rsidRPr="00325B13">
        <w:t>ligibility for an ATAR will require satisfactory completion of a QCAA English subject.</w:t>
      </w:r>
    </w:p>
    <w:p w:rsidR="00325B13" w:rsidRPr="00325B13" w:rsidRDefault="00325B13" w:rsidP="00C65A04">
      <w:pPr>
        <w:pStyle w:val="BodyText"/>
      </w:pPr>
      <w:r w:rsidRPr="00325B13">
        <w:t>Satisfactory completion will require students to attain a result that is equivalent to a Sound Level of Achievement in one of five subjects — English,</w:t>
      </w:r>
      <w:r>
        <w:t xml:space="preserve"> Essential English, Literature</w:t>
      </w:r>
      <w:r w:rsidRPr="00325B13">
        <w:t>, English a</w:t>
      </w:r>
      <w:r>
        <w:t>nd Literature Extension</w:t>
      </w:r>
      <w:r w:rsidRPr="00325B13">
        <w:t xml:space="preserve"> or English as an Additional Language.</w:t>
      </w:r>
    </w:p>
    <w:p w:rsidR="00325B13" w:rsidRPr="00325B13" w:rsidRDefault="00325B13" w:rsidP="00C65A04">
      <w:pPr>
        <w:pStyle w:val="BodyText"/>
      </w:pPr>
      <w:r w:rsidRPr="00325B13">
        <w:t>While students must meet this standard to be eligi</w:t>
      </w:r>
      <w:r>
        <w:t>ble to receive an ATAR, it is not</w:t>
      </w:r>
      <w:r w:rsidRPr="00325B13">
        <w:t xml:space="preserve"> mandatory for a student’s English result to be included i</w:t>
      </w:r>
      <w:r>
        <w:t>n the calculation of their ATAR</w:t>
      </w:r>
      <w:r w:rsidRPr="00325B13">
        <w:t>.</w:t>
      </w:r>
    </w:p>
    <w:p w:rsidR="00143504" w:rsidRDefault="00143504" w:rsidP="00143504">
      <w:pPr>
        <w:pStyle w:val="Heading1"/>
      </w:pPr>
      <w:bookmarkStart w:id="53" w:name="_Toc495675586"/>
      <w:bookmarkStart w:id="54" w:name="_Toc16163473"/>
      <w:bookmarkStart w:id="55" w:name="_Toc16206722"/>
      <w:r>
        <w:t>General syllabuses</w:t>
      </w:r>
      <w:bookmarkEnd w:id="53"/>
      <w:bookmarkEnd w:id="54"/>
      <w:bookmarkEnd w:id="55"/>
    </w:p>
    <w:p w:rsidR="00143504" w:rsidRDefault="00143504" w:rsidP="008C3C06">
      <w:pPr>
        <w:pStyle w:val="Heading2"/>
      </w:pPr>
      <w:bookmarkStart w:id="56" w:name="_Toc495675587"/>
      <w:bookmarkStart w:id="57" w:name="_Toc16163474"/>
      <w:bookmarkStart w:id="58" w:name="_Toc16206723"/>
      <w:r>
        <w:t>Structure</w:t>
      </w:r>
      <w:bookmarkEnd w:id="56"/>
      <w:bookmarkEnd w:id="57"/>
      <w:bookmarkEnd w:id="58"/>
    </w:p>
    <w:p w:rsidR="001B0CF2" w:rsidRPr="004E1316" w:rsidRDefault="001B0CF2" w:rsidP="008C3C06">
      <w:pPr>
        <w:pStyle w:val="BodyText"/>
      </w:pPr>
      <w:r>
        <w:t>The syllabus structure consists of a course overview and assessment.</w:t>
      </w:r>
    </w:p>
    <w:p w:rsidR="00143504" w:rsidRPr="000C3D2A" w:rsidRDefault="00143504" w:rsidP="008C3C06">
      <w:pPr>
        <w:pStyle w:val="Heading3"/>
      </w:pPr>
      <w:bookmarkStart w:id="59" w:name="_Toc16163475"/>
      <w:r>
        <w:t>General syllabuses c</w:t>
      </w:r>
      <w:r w:rsidRPr="000C3D2A">
        <w:t xml:space="preserve">ourse </w:t>
      </w:r>
      <w:r>
        <w:t>overview</w:t>
      </w:r>
      <w:bookmarkEnd w:id="59"/>
    </w:p>
    <w:p w:rsidR="00143504" w:rsidRDefault="00143504" w:rsidP="00143504">
      <w:pPr>
        <w:pStyle w:val="BodyText"/>
      </w:pPr>
      <w:r>
        <w:t xml:space="preserve">General syllabuses are developmental four-unit courses of study. </w:t>
      </w:r>
    </w:p>
    <w:p w:rsidR="00B650A3" w:rsidRDefault="00143504" w:rsidP="00B650A3">
      <w:pPr>
        <w:pStyle w:val="BodyText"/>
      </w:pPr>
      <w:r w:rsidRPr="00E45711">
        <w:t>Units 1 and 2 provide foundational learning, allow</w:t>
      </w:r>
      <w:r>
        <w:t>ing</w:t>
      </w:r>
      <w:r w:rsidRPr="00E45711">
        <w:t xml:space="preserve"> students to experience all syllabus objectives and begin engaging with the course subject matter</w:t>
      </w:r>
      <w:r>
        <w:t xml:space="preserve">. It is intended that Units 1 and 2 are studied as a pair. </w:t>
      </w:r>
      <w:r w:rsidR="00B650A3">
        <w:t>Assessment in Units 1 and 2 provides students with feedback on their progress in a course of study and contribute</w:t>
      </w:r>
      <w:r w:rsidR="008128CB">
        <w:t>s</w:t>
      </w:r>
      <w:r w:rsidR="00B650A3">
        <w:t xml:space="preserve"> to the award of a QCE. </w:t>
      </w:r>
    </w:p>
    <w:p w:rsidR="00B650A3" w:rsidRDefault="00B650A3" w:rsidP="00B650A3">
      <w:pPr>
        <w:pStyle w:val="BodyText"/>
      </w:pPr>
      <w:r>
        <w:t>S</w:t>
      </w:r>
      <w:r w:rsidRPr="00E45711">
        <w:t xml:space="preserve">tudents should complete Units 1 and 2 before </w:t>
      </w:r>
      <w:r>
        <w:t>starting</w:t>
      </w:r>
      <w:r w:rsidRPr="00E45711">
        <w:t xml:space="preserve"> Unit</w:t>
      </w:r>
      <w:r>
        <w:t>s</w:t>
      </w:r>
      <w:r w:rsidRPr="00E45711">
        <w:t xml:space="preserve"> 3</w:t>
      </w:r>
      <w:r>
        <w:t xml:space="preserve"> and 4. </w:t>
      </w:r>
    </w:p>
    <w:p w:rsidR="00B650A3" w:rsidRDefault="00B650A3" w:rsidP="00B650A3">
      <w:pPr>
        <w:pStyle w:val="BodyText"/>
      </w:pPr>
      <w:r w:rsidRPr="00F670E4">
        <w:t>Units 3 and 4 consolidate student learning</w:t>
      </w:r>
      <w:r>
        <w:t xml:space="preserve">. Assessment in </w:t>
      </w:r>
      <w:r w:rsidRPr="00F670E4">
        <w:t xml:space="preserve">Units 3 and 4 </w:t>
      </w:r>
      <w:r>
        <w:t xml:space="preserve">is summative and student results </w:t>
      </w:r>
      <w:r w:rsidRPr="00F670E4">
        <w:t xml:space="preserve">contribute </w:t>
      </w:r>
      <w:r>
        <w:t xml:space="preserve">to the award of a QCE and </w:t>
      </w:r>
      <w:r w:rsidRPr="00F670E4">
        <w:t>to ATAR calculations.</w:t>
      </w:r>
    </w:p>
    <w:p w:rsidR="00143504" w:rsidRDefault="00143504" w:rsidP="008C3C06">
      <w:pPr>
        <w:pStyle w:val="Heading3"/>
      </w:pPr>
      <w:bookmarkStart w:id="60" w:name="_Toc16163476"/>
      <w:r>
        <w:t>Extension syllabuses course overview</w:t>
      </w:r>
      <w:bookmarkEnd w:id="60"/>
    </w:p>
    <w:p w:rsidR="00143504" w:rsidRDefault="00143504" w:rsidP="00143504">
      <w:pPr>
        <w:pStyle w:val="BodyText"/>
      </w:pPr>
      <w:r w:rsidRPr="00CE0576">
        <w:t xml:space="preserve">Extension subjects are extensions of the related </w:t>
      </w:r>
      <w:r>
        <w:t>G</w:t>
      </w:r>
      <w:r w:rsidRPr="00CE0576">
        <w:t xml:space="preserve">eneral subjects and include external assessment. </w:t>
      </w:r>
      <w:r>
        <w:t xml:space="preserve">Extension subjects are </w:t>
      </w:r>
      <w:r w:rsidRPr="00BA62EA">
        <w:t xml:space="preserve">studied </w:t>
      </w:r>
      <w:r>
        <w:t xml:space="preserve">either concurrently with, or after, Units 3 and 4 of the General course of study. </w:t>
      </w:r>
    </w:p>
    <w:p w:rsidR="00143504" w:rsidRDefault="00143504" w:rsidP="00143504">
      <w:pPr>
        <w:pStyle w:val="BodyText"/>
      </w:pPr>
      <w:r>
        <w:t>Extension syllabuses are courses of study that consist of two units</w:t>
      </w:r>
      <w:r w:rsidR="00733763">
        <w:t xml:space="preserve"> (Units 3 and 4)</w:t>
      </w:r>
      <w:r>
        <w:t>. Subject matter, learning experiences and assessment increase in complexity across the two units as students develop greater independence as learners.</w:t>
      </w:r>
      <w:r w:rsidRPr="00523CFC">
        <w:t xml:space="preserve"> </w:t>
      </w:r>
    </w:p>
    <w:p w:rsidR="00143504" w:rsidRDefault="00B650A3" w:rsidP="00143504">
      <w:pPr>
        <w:pStyle w:val="BodyText"/>
      </w:pPr>
      <w:r>
        <w:t>The results from Units 3 and 4 contribute to the award of a QCE and to ATAR calculations.</w:t>
      </w:r>
    </w:p>
    <w:p w:rsidR="00143504" w:rsidRDefault="00143504" w:rsidP="008C3C06">
      <w:pPr>
        <w:pStyle w:val="Heading2"/>
      </w:pPr>
      <w:bookmarkStart w:id="61" w:name="_Toc495675588"/>
      <w:bookmarkStart w:id="62" w:name="_Toc16163477"/>
      <w:bookmarkStart w:id="63" w:name="_Toc16206724"/>
      <w:r>
        <w:t>Assessment</w:t>
      </w:r>
      <w:bookmarkEnd w:id="61"/>
      <w:bookmarkEnd w:id="62"/>
      <w:bookmarkEnd w:id="63"/>
    </w:p>
    <w:p w:rsidR="006D0F05" w:rsidRDefault="006D0F05" w:rsidP="008C3C06">
      <w:pPr>
        <w:pStyle w:val="Heading3"/>
      </w:pPr>
      <w:bookmarkStart w:id="64" w:name="_Toc483551947"/>
      <w:bookmarkStart w:id="65" w:name="_Toc16163478"/>
      <w:bookmarkStart w:id="66" w:name="_Hlk490549520"/>
      <w:r>
        <w:t>Units 1 and 2 assessment</w:t>
      </w:r>
      <w:bookmarkEnd w:id="64"/>
      <w:r w:rsidR="00150FB8">
        <w:t>s</w:t>
      </w:r>
      <w:bookmarkEnd w:id="65"/>
    </w:p>
    <w:p w:rsidR="006D0F05" w:rsidRDefault="006D0F05" w:rsidP="006D0F05">
      <w:pPr>
        <w:pStyle w:val="BodyText"/>
        <w:rPr>
          <w:lang w:val="en-GB" w:eastAsia="ja-JP"/>
        </w:rPr>
      </w:pPr>
      <w:r>
        <w:rPr>
          <w:lang w:val="en-GB" w:eastAsia="ja-JP"/>
        </w:rPr>
        <w:t>Schools decide the sequence, scope and scale of assessments for Units 1 and 2</w:t>
      </w:r>
      <w:r w:rsidR="008128CB">
        <w:rPr>
          <w:lang w:val="en-GB" w:eastAsia="ja-JP"/>
        </w:rPr>
        <w:t>. These assessments</w:t>
      </w:r>
      <w:r>
        <w:rPr>
          <w:lang w:val="en-GB" w:eastAsia="ja-JP"/>
        </w:rPr>
        <w:t xml:space="preserve"> should reflect the local context. Teachers determine the assessment program, tasks and </w:t>
      </w:r>
      <w:r w:rsidRPr="001032F6">
        <w:rPr>
          <w:lang w:val="en-GB" w:eastAsia="ja-JP"/>
        </w:rPr>
        <w:t xml:space="preserve">marking guides </w:t>
      </w:r>
      <w:r>
        <w:rPr>
          <w:lang w:val="en-GB" w:eastAsia="ja-JP"/>
        </w:rPr>
        <w:t>that are used to assess student performance for Units 1 and 2.</w:t>
      </w:r>
    </w:p>
    <w:p w:rsidR="006D0F05" w:rsidRDefault="006D0F05" w:rsidP="006D0F05">
      <w:pPr>
        <w:pStyle w:val="BodyText"/>
        <w:rPr>
          <w:lang w:val="en-GB" w:eastAsia="ja-JP"/>
        </w:rPr>
      </w:pPr>
      <w:r>
        <w:rPr>
          <w:lang w:val="en-GB" w:eastAsia="ja-JP"/>
        </w:rPr>
        <w:t>Unit</w:t>
      </w:r>
      <w:r w:rsidR="008128CB">
        <w:rPr>
          <w:lang w:val="en-GB" w:eastAsia="ja-JP"/>
        </w:rPr>
        <w:t>s</w:t>
      </w:r>
      <w:r>
        <w:rPr>
          <w:lang w:val="en-GB" w:eastAsia="ja-JP"/>
        </w:rPr>
        <w:t xml:space="preserve"> 1 and 2 assessment outcomes provide feedback to students on their progress in the course of study. Schools should develop at least </w:t>
      </w:r>
      <w:r w:rsidRPr="00C65A04">
        <w:rPr>
          <w:i/>
          <w:lang w:val="en-GB" w:eastAsia="ja-JP"/>
        </w:rPr>
        <w:t>two</w:t>
      </w:r>
      <w:r>
        <w:rPr>
          <w:lang w:val="en-GB" w:eastAsia="ja-JP"/>
        </w:rPr>
        <w:t xml:space="preserve"> but no more than </w:t>
      </w:r>
      <w:r w:rsidRPr="00C65A04">
        <w:rPr>
          <w:i/>
          <w:lang w:val="en-GB" w:eastAsia="ja-JP"/>
        </w:rPr>
        <w:t>four</w:t>
      </w:r>
      <w:r>
        <w:rPr>
          <w:lang w:val="en-GB" w:eastAsia="ja-JP"/>
        </w:rPr>
        <w:t xml:space="preserve"> assessments for Units 1 and 2. At least </w:t>
      </w:r>
      <w:r w:rsidRPr="00C65A04">
        <w:rPr>
          <w:i/>
          <w:lang w:val="en-GB" w:eastAsia="ja-JP"/>
        </w:rPr>
        <w:t>one</w:t>
      </w:r>
      <w:r>
        <w:rPr>
          <w:lang w:val="en-GB" w:eastAsia="ja-JP"/>
        </w:rPr>
        <w:t xml:space="preserve"> assessment must be completed for </w:t>
      </w:r>
      <w:r w:rsidRPr="00C65A04">
        <w:rPr>
          <w:i/>
          <w:lang w:val="en-GB" w:eastAsia="ja-JP"/>
        </w:rPr>
        <w:t>each</w:t>
      </w:r>
      <w:r>
        <w:rPr>
          <w:lang w:val="en-GB" w:eastAsia="ja-JP"/>
        </w:rPr>
        <w:t xml:space="preserve"> unit</w:t>
      </w:r>
      <w:r w:rsidR="00981516">
        <w:rPr>
          <w:lang w:val="en-GB" w:eastAsia="ja-JP"/>
        </w:rPr>
        <w:t>.</w:t>
      </w:r>
    </w:p>
    <w:p w:rsidR="00981516" w:rsidRPr="00A66669" w:rsidRDefault="00981516" w:rsidP="00981516">
      <w:pPr>
        <w:pStyle w:val="BodyText"/>
        <w:rPr>
          <w:rFonts w:ascii="Times New Roman" w:hAnsi="Times New Roman"/>
          <w:sz w:val="24"/>
          <w:szCs w:val="24"/>
          <w:lang w:val="en-GB" w:eastAsia="ja-JP"/>
        </w:rPr>
      </w:pPr>
      <w:r>
        <w:rPr>
          <w:lang w:val="en-GB" w:eastAsia="ja-JP"/>
        </w:rPr>
        <w:t>Schools report satisfactory completion of Units 1 and 2 to the</w:t>
      </w:r>
      <w:r w:rsidRPr="00A66669">
        <w:rPr>
          <w:lang w:val="en-GB" w:eastAsia="ja-JP"/>
        </w:rPr>
        <w:t xml:space="preserve"> QCAA</w:t>
      </w:r>
      <w:r>
        <w:rPr>
          <w:lang w:val="en-GB" w:eastAsia="ja-JP"/>
        </w:rPr>
        <w:t xml:space="preserve">, and </w:t>
      </w:r>
      <w:r w:rsidRPr="00A66669">
        <w:rPr>
          <w:lang w:val="en-GB" w:eastAsia="ja-JP"/>
        </w:rPr>
        <w:t xml:space="preserve">may choose to report levels of achievement </w:t>
      </w:r>
      <w:r>
        <w:rPr>
          <w:lang w:val="en-GB" w:eastAsia="ja-JP"/>
        </w:rPr>
        <w:t xml:space="preserve">to students and parents/carers </w:t>
      </w:r>
      <w:r w:rsidRPr="00A66669">
        <w:rPr>
          <w:lang w:val="en-GB" w:eastAsia="ja-JP"/>
        </w:rPr>
        <w:t>using grades, descriptive statements or other indicators.</w:t>
      </w:r>
    </w:p>
    <w:p w:rsidR="006D0F05" w:rsidRDefault="006D0F05" w:rsidP="008C3C06">
      <w:pPr>
        <w:pStyle w:val="Heading3"/>
      </w:pPr>
      <w:bookmarkStart w:id="67" w:name="_Toc483551948"/>
      <w:bookmarkStart w:id="68" w:name="_Toc16163479"/>
      <w:r>
        <w:t>Units 3 and 4 assessment</w:t>
      </w:r>
      <w:bookmarkEnd w:id="67"/>
      <w:r w:rsidR="00150FB8">
        <w:t>s</w:t>
      </w:r>
      <w:bookmarkEnd w:id="68"/>
    </w:p>
    <w:p w:rsidR="006D0F05" w:rsidRPr="00BE29E1" w:rsidRDefault="006D0F05" w:rsidP="006D0F05">
      <w:pPr>
        <w:pStyle w:val="BodyText"/>
      </w:pPr>
      <w:r>
        <w:t>S</w:t>
      </w:r>
      <w:r w:rsidRPr="00D54C9D">
        <w:t>tudents complete a</w:t>
      </w:r>
      <w:r>
        <w:t xml:space="preserve"> </w:t>
      </w:r>
      <w:r w:rsidRPr="00D54C9D">
        <w:t xml:space="preserve">total of </w:t>
      </w:r>
      <w:r w:rsidRPr="00533D10">
        <w:rPr>
          <w:i/>
        </w:rPr>
        <w:t>four</w:t>
      </w:r>
      <w:r w:rsidRPr="00D54C9D">
        <w:t xml:space="preserve"> </w:t>
      </w:r>
      <w:r>
        <w:t xml:space="preserve">summative </w:t>
      </w:r>
      <w:r w:rsidRPr="00D54C9D">
        <w:t>assessment</w:t>
      </w:r>
      <w:r>
        <w:t xml:space="preserve">s — </w:t>
      </w:r>
      <w:r w:rsidRPr="00BE29E1">
        <w:t xml:space="preserve">three </w:t>
      </w:r>
      <w:r>
        <w:t>internal and one external —</w:t>
      </w:r>
      <w:r w:rsidRPr="00D54C9D">
        <w:t xml:space="preserve"> that count towards the</w:t>
      </w:r>
      <w:r>
        <w:t xml:space="preserve"> </w:t>
      </w:r>
      <w:r w:rsidR="00981516">
        <w:t xml:space="preserve">overall subject </w:t>
      </w:r>
      <w:r>
        <w:t>result</w:t>
      </w:r>
      <w:r w:rsidRPr="00D54C9D">
        <w:t xml:space="preserve"> in each </w:t>
      </w:r>
      <w:r>
        <w:t xml:space="preserve">General </w:t>
      </w:r>
      <w:r w:rsidRPr="00D54C9D">
        <w:t>subject</w:t>
      </w:r>
      <w:r>
        <w:t xml:space="preserve">. </w:t>
      </w:r>
    </w:p>
    <w:p w:rsidR="006D0F05" w:rsidRDefault="006D0F05" w:rsidP="006D0F05">
      <w:pPr>
        <w:pStyle w:val="BodyText"/>
      </w:pPr>
      <w:r w:rsidRPr="005D1F81">
        <w:t xml:space="preserve">Schools </w:t>
      </w:r>
      <w:r>
        <w:t>develop</w:t>
      </w:r>
      <w:r w:rsidRPr="005D1F81">
        <w:t xml:space="preserve"> </w:t>
      </w:r>
      <w:r w:rsidRPr="005D1F81">
        <w:rPr>
          <w:i/>
        </w:rPr>
        <w:t>three</w:t>
      </w:r>
      <w:r>
        <w:t xml:space="preserve"> internal assessments </w:t>
      </w:r>
      <w:r w:rsidRPr="005D1F81">
        <w:t xml:space="preserve">for each senior subject </w:t>
      </w:r>
      <w:r>
        <w:t>to reflect the requirements described in Units 3 and 4 of each General syllabus.</w:t>
      </w:r>
    </w:p>
    <w:p w:rsidR="006D0F05" w:rsidRPr="00932D1C" w:rsidRDefault="006D0F05" w:rsidP="00C23541">
      <w:pPr>
        <w:pStyle w:val="BodyText"/>
        <w:rPr>
          <w:rStyle w:val="InstructiontowritersChar"/>
          <w:sz w:val="21"/>
          <w:shd w:val="clear" w:color="auto" w:fill="auto"/>
          <w:lang w:eastAsia="en-AU"/>
        </w:rPr>
      </w:pPr>
      <w:r>
        <w:t xml:space="preserve">The three summative internal assessments need to be endorsed by the QCAA before they are used in schools. Students’ results in these assessments are externally confirmed by QCAA assessors. These </w:t>
      </w:r>
      <w:r w:rsidR="00981516">
        <w:t xml:space="preserve">confirmed </w:t>
      </w:r>
      <w:r>
        <w:t xml:space="preserve">results </w:t>
      </w:r>
      <w:r w:rsidR="00981516">
        <w:t xml:space="preserve">from internal assessment </w:t>
      </w:r>
      <w:r>
        <w:t xml:space="preserve">are combined with a single </w:t>
      </w:r>
      <w:r w:rsidR="00981516">
        <w:t xml:space="preserve">result from </w:t>
      </w:r>
      <w:r w:rsidR="008128CB">
        <w:t xml:space="preserve">an </w:t>
      </w:r>
      <w:r w:rsidRPr="00D54C9D">
        <w:t>external</w:t>
      </w:r>
      <w:r>
        <w:t xml:space="preserve"> </w:t>
      </w:r>
      <w:r w:rsidRPr="00D54C9D">
        <w:t>assessment</w:t>
      </w:r>
      <w:r w:rsidR="008128CB">
        <w:t>,</w:t>
      </w:r>
      <w:r w:rsidRPr="00D54C9D">
        <w:t xml:space="preserve"> </w:t>
      </w:r>
      <w:r w:rsidR="00981516">
        <w:t xml:space="preserve">which is </w:t>
      </w:r>
      <w:r>
        <w:t xml:space="preserve">developed </w:t>
      </w:r>
      <w:r w:rsidRPr="00D54C9D">
        <w:t xml:space="preserve">and marked by </w:t>
      </w:r>
      <w:r>
        <w:t xml:space="preserve">the </w:t>
      </w:r>
      <w:r w:rsidRPr="00D54C9D">
        <w:t xml:space="preserve">QCAA. </w:t>
      </w:r>
      <w:r w:rsidR="00981516" w:rsidRPr="00D54C9D">
        <w:t>The external</w:t>
      </w:r>
      <w:r w:rsidR="00981516">
        <w:t xml:space="preserve"> </w:t>
      </w:r>
      <w:r w:rsidR="00981516" w:rsidRPr="00D54C9D">
        <w:t>asses</w:t>
      </w:r>
      <w:r w:rsidR="00981516">
        <w:t>sment result for a subject contributes to a determined percentage of a</w:t>
      </w:r>
      <w:r w:rsidR="00981516" w:rsidRPr="00D54C9D">
        <w:t xml:space="preserve"> students</w:t>
      </w:r>
      <w:r w:rsidR="00981516">
        <w:t xml:space="preserve">' overall subject result. For most subjects this is </w:t>
      </w:r>
      <w:r w:rsidR="00150FB8">
        <w:t>25%</w:t>
      </w:r>
      <w:r w:rsidR="00352125">
        <w:t>;</w:t>
      </w:r>
      <w:r w:rsidR="00981516">
        <w:t xml:space="preserve"> for Mathematics and Science subjects </w:t>
      </w:r>
      <w:r w:rsidR="008128CB">
        <w:t xml:space="preserve">it </w:t>
      </w:r>
      <w:r w:rsidR="00981516">
        <w:t xml:space="preserve">is </w:t>
      </w:r>
      <w:r w:rsidR="00150FB8">
        <w:t>50%</w:t>
      </w:r>
      <w:r w:rsidR="00981516">
        <w:t>.</w:t>
      </w:r>
    </w:p>
    <w:p w:rsidR="006D0F05" w:rsidRDefault="006D0F05">
      <w:pPr>
        <w:pStyle w:val="Heading4"/>
      </w:pPr>
      <w:r>
        <w:t>Instrument-specific marking guides</w:t>
      </w:r>
    </w:p>
    <w:p w:rsidR="006D0F05" w:rsidRDefault="006D0F05" w:rsidP="006D0F05">
      <w:pPr>
        <w:pStyle w:val="BodyText"/>
      </w:pPr>
      <w:r>
        <w:t>Each syllabus</w:t>
      </w:r>
      <w:r w:rsidRPr="00B24F0E">
        <w:t xml:space="preserve"> provide</w:t>
      </w:r>
      <w:r>
        <w:t>s</w:t>
      </w:r>
      <w:r w:rsidRPr="00B24F0E">
        <w:t xml:space="preserve"> </w:t>
      </w:r>
      <w:r>
        <w:t xml:space="preserve">instrument-specific marking guides (ISMGs) </w:t>
      </w:r>
      <w:r w:rsidRPr="00B24F0E">
        <w:t>for summative</w:t>
      </w:r>
      <w:r>
        <w:t xml:space="preserve"> </w:t>
      </w:r>
      <w:r w:rsidRPr="00B24F0E">
        <w:t>internal assessments</w:t>
      </w:r>
      <w:r>
        <w:t>.</w:t>
      </w:r>
    </w:p>
    <w:p w:rsidR="006D0F05" w:rsidRDefault="006D0F05" w:rsidP="006D0F05">
      <w:pPr>
        <w:pStyle w:val="BodyText"/>
      </w:pPr>
      <w:r>
        <w:t xml:space="preserve">The ISMGs describe the characteristics evident in student responses and align with the identified assessment objectives. </w:t>
      </w:r>
      <w:r w:rsidRPr="007843DA">
        <w:t xml:space="preserve">Assessment objectives are drawn from the unit objectives and are contextualised </w:t>
      </w:r>
      <w:r>
        <w:t>for</w:t>
      </w:r>
      <w:r w:rsidRPr="007843DA">
        <w:t xml:space="preserve"> the requirements of the assessment instrument.</w:t>
      </w:r>
    </w:p>
    <w:p w:rsidR="006D0F05" w:rsidRDefault="006D0F05" w:rsidP="006D0F05">
      <w:pPr>
        <w:pStyle w:val="BodyText"/>
      </w:pPr>
      <w:r w:rsidRPr="001032F6">
        <w:t>Schools cannot change or modify an ISMG</w:t>
      </w:r>
      <w:r w:rsidR="00981516">
        <w:t xml:space="preserve"> for use with summative internal assessment.</w:t>
      </w:r>
    </w:p>
    <w:p w:rsidR="006D0F05" w:rsidRDefault="006D0F05" w:rsidP="006D0F05">
      <w:pPr>
        <w:pStyle w:val="BodyText"/>
      </w:pPr>
      <w:r>
        <w:t xml:space="preserve">As part of quality teaching and learning, schools should discuss ISMGs with students to help </w:t>
      </w:r>
      <w:r w:rsidR="00352125">
        <w:t xml:space="preserve">them </w:t>
      </w:r>
      <w:r>
        <w:t>understand the requirements of an assessment task.</w:t>
      </w:r>
    </w:p>
    <w:p w:rsidR="006D0F05" w:rsidRDefault="00E64981">
      <w:pPr>
        <w:pStyle w:val="Heading4"/>
      </w:pPr>
      <w:r>
        <w:t>E</w:t>
      </w:r>
      <w:r w:rsidR="006D0F05">
        <w:t>xternal assessment</w:t>
      </w:r>
    </w:p>
    <w:p w:rsidR="006D0F05" w:rsidRPr="008A4C44" w:rsidRDefault="00E64981" w:rsidP="006D0F05">
      <w:pPr>
        <w:pStyle w:val="BodyText"/>
      </w:pPr>
      <w:r>
        <w:t>E</w:t>
      </w:r>
      <w:r w:rsidR="006D0F05" w:rsidRPr="00EC64EF">
        <w:t xml:space="preserve">xternal assessment </w:t>
      </w:r>
      <w:r w:rsidR="00C23541">
        <w:t xml:space="preserve">is summative and </w:t>
      </w:r>
      <w:r w:rsidR="006D0F05" w:rsidRPr="00EC64EF">
        <w:t>adds valuable evidence of achievement to a student’s profile. External assessment is:</w:t>
      </w:r>
    </w:p>
    <w:p w:rsidR="006D0F05" w:rsidRPr="008A4C44" w:rsidRDefault="006D0F05" w:rsidP="006D0F05">
      <w:pPr>
        <w:pStyle w:val="ListBullet0"/>
        <w:numPr>
          <w:ilvl w:val="0"/>
          <w:numId w:val="5"/>
        </w:numPr>
      </w:pPr>
      <w:r w:rsidRPr="008A4C44">
        <w:t>common to all schools</w:t>
      </w:r>
    </w:p>
    <w:p w:rsidR="006D0F05" w:rsidRPr="008A4C44" w:rsidRDefault="006D0F05" w:rsidP="006D0F05">
      <w:pPr>
        <w:pStyle w:val="ListBullet0"/>
        <w:numPr>
          <w:ilvl w:val="0"/>
          <w:numId w:val="5"/>
        </w:numPr>
      </w:pPr>
      <w:r w:rsidRPr="008A4C44">
        <w:t>administered under the same conditions at the same</w:t>
      </w:r>
      <w:r>
        <w:t xml:space="preserve"> </w:t>
      </w:r>
      <w:r w:rsidRPr="008A4C44">
        <w:t>time and on the same day</w:t>
      </w:r>
    </w:p>
    <w:p w:rsidR="006D0F05" w:rsidRDefault="006D0F05" w:rsidP="006D0F05">
      <w:pPr>
        <w:pStyle w:val="ListBullet0"/>
        <w:numPr>
          <w:ilvl w:val="0"/>
          <w:numId w:val="5"/>
        </w:numPr>
      </w:pPr>
      <w:r>
        <w:t xml:space="preserve">developed and </w:t>
      </w:r>
      <w:r w:rsidRPr="008A4C44">
        <w:t>marked by</w:t>
      </w:r>
      <w:r>
        <w:t xml:space="preserve"> the</w:t>
      </w:r>
      <w:r w:rsidRPr="008A4C44">
        <w:t xml:space="preserve"> QCAA according to a commonly applied</w:t>
      </w:r>
      <w:r>
        <w:t xml:space="preserve"> </w:t>
      </w:r>
      <w:r w:rsidRPr="008A4C44">
        <w:t>marking scheme.</w:t>
      </w:r>
    </w:p>
    <w:p w:rsidR="006D0F05" w:rsidRDefault="006D0F05" w:rsidP="006D0F05">
      <w:pPr>
        <w:pStyle w:val="BodyText"/>
      </w:pPr>
      <w:r w:rsidRPr="008A4C44">
        <w:t xml:space="preserve">The external assessment </w:t>
      </w:r>
      <w:r>
        <w:t xml:space="preserve">contributes a determined percentage </w:t>
      </w:r>
      <w:r w:rsidR="006579C1">
        <w:t xml:space="preserve">(see specific subject guides — assessment) </w:t>
      </w:r>
      <w:r>
        <w:t xml:space="preserve">to the student’s </w:t>
      </w:r>
      <w:r w:rsidR="00C23541">
        <w:t xml:space="preserve">overall subject </w:t>
      </w:r>
      <w:r>
        <w:t xml:space="preserve">result and is not privileged </w:t>
      </w:r>
      <w:r w:rsidRPr="008A4C44">
        <w:t>over</w:t>
      </w:r>
      <w:r>
        <w:t xml:space="preserve"> summative internal </w:t>
      </w:r>
      <w:r w:rsidRPr="001E6365">
        <w:t>assessment.</w:t>
      </w:r>
    </w:p>
    <w:bookmarkEnd w:id="66"/>
    <w:p w:rsidR="001E3966" w:rsidRDefault="001E3966" w:rsidP="008C3C06">
      <w:pPr>
        <w:pStyle w:val="BodyText"/>
      </w:pPr>
      <w:r>
        <w:br w:type="page"/>
      </w:r>
    </w:p>
    <w:p w:rsidR="00CB3886" w:rsidRDefault="00CB3886">
      <w:pPr>
        <w:pStyle w:val="Heading1"/>
      </w:pPr>
      <w:bookmarkStart w:id="69" w:name="_Toc495675589"/>
      <w:bookmarkStart w:id="70" w:name="_Toc16163480"/>
      <w:bookmarkStart w:id="71" w:name="_Toc16206725"/>
      <w:r>
        <w:t>Applied syllabuses</w:t>
      </w:r>
      <w:bookmarkEnd w:id="69"/>
      <w:bookmarkEnd w:id="70"/>
      <w:bookmarkEnd w:id="71"/>
    </w:p>
    <w:p w:rsidR="00CB3886" w:rsidRDefault="00CB3886" w:rsidP="008C3C06">
      <w:pPr>
        <w:pStyle w:val="Heading2"/>
      </w:pPr>
      <w:bookmarkStart w:id="72" w:name="_Toc495675590"/>
      <w:bookmarkStart w:id="73" w:name="_Toc16163481"/>
      <w:bookmarkStart w:id="74" w:name="_Toc16206726"/>
      <w:r>
        <w:t>Structure</w:t>
      </w:r>
      <w:bookmarkEnd w:id="72"/>
      <w:bookmarkEnd w:id="73"/>
      <w:bookmarkEnd w:id="74"/>
    </w:p>
    <w:p w:rsidR="00EE5ACF" w:rsidRPr="004E1316" w:rsidRDefault="00EE5ACF" w:rsidP="00EE5ACF">
      <w:pPr>
        <w:pStyle w:val="BodyText"/>
      </w:pPr>
      <w:r>
        <w:t>The syllabus structure consists of a course overview and assessment.</w:t>
      </w:r>
    </w:p>
    <w:p w:rsidR="00EE5ACF" w:rsidRDefault="00EE5ACF" w:rsidP="00C65A04">
      <w:pPr>
        <w:pStyle w:val="Heading3"/>
      </w:pPr>
      <w:bookmarkStart w:id="75" w:name="_Toc16163482"/>
      <w:bookmarkStart w:id="76" w:name="_Hlk495391674"/>
      <w:r>
        <w:t>Applied syllabuses c</w:t>
      </w:r>
      <w:r w:rsidRPr="000C3D2A">
        <w:t xml:space="preserve">ourse </w:t>
      </w:r>
      <w:r>
        <w:t>overview</w:t>
      </w:r>
      <w:bookmarkEnd w:id="75"/>
    </w:p>
    <w:bookmarkEnd w:id="76"/>
    <w:p w:rsidR="00EE5ACF" w:rsidRPr="00E52534" w:rsidRDefault="00EE5ACF" w:rsidP="00EE5ACF">
      <w:pPr>
        <w:pStyle w:val="BodyText"/>
      </w:pPr>
      <w:r>
        <w:t>Applied syllabuses are developmental four-unit</w:t>
      </w:r>
      <w:r w:rsidRPr="00E52534">
        <w:t xml:space="preserve"> course</w:t>
      </w:r>
      <w:r>
        <w:t>s</w:t>
      </w:r>
      <w:r w:rsidRPr="00E52534">
        <w:t xml:space="preserve"> of study.</w:t>
      </w:r>
    </w:p>
    <w:p w:rsidR="00CB3886" w:rsidRDefault="00CB3886" w:rsidP="00CB3886">
      <w:pPr>
        <w:pStyle w:val="BodyText"/>
      </w:pPr>
      <w:r>
        <w:t>Units</w:t>
      </w:r>
      <w:r w:rsidRPr="00E52534">
        <w:t xml:space="preserve"> 1 and 2 of the course are designed to allow students to begin their engagement with the course content, i.e. the knowledge, understanding and skills of the subject. Course content, learning experiences and assessment increase in complexity across the four </w:t>
      </w:r>
      <w:r>
        <w:t>units</w:t>
      </w:r>
      <w:r w:rsidRPr="00E52534">
        <w:t xml:space="preserve"> as students develop greater independence as learners.</w:t>
      </w:r>
      <w:r>
        <w:t xml:space="preserve"> </w:t>
      </w:r>
    </w:p>
    <w:p w:rsidR="00C144B7" w:rsidRDefault="00B650A3" w:rsidP="00CB3886">
      <w:pPr>
        <w:pStyle w:val="BodyText"/>
      </w:pPr>
      <w:r>
        <w:t>Units</w:t>
      </w:r>
      <w:r w:rsidRPr="00E52534">
        <w:t xml:space="preserve"> 3 and 4 consolidate student learning.</w:t>
      </w:r>
      <w:r>
        <w:t xml:space="preserve"> Results from assessment in Applied subjects contribute to the award of a QCE and results from Units 3 and 4 may contribute as a single input to ATAR calculation.  </w:t>
      </w:r>
    </w:p>
    <w:p w:rsidR="00C144B7" w:rsidRDefault="00C144B7" w:rsidP="00C144B7">
      <w:pPr>
        <w:pStyle w:val="BodyText"/>
      </w:pPr>
      <w:r>
        <w:t xml:space="preserve">A course of study for Applied syllabuses includes core topics and elective areas for study. </w:t>
      </w:r>
    </w:p>
    <w:p w:rsidR="00CB3886" w:rsidRPr="0021566A" w:rsidRDefault="00CB3886" w:rsidP="008C3C06">
      <w:pPr>
        <w:pStyle w:val="Heading2"/>
      </w:pPr>
      <w:bookmarkStart w:id="77" w:name="_Toc495675591"/>
      <w:bookmarkStart w:id="78" w:name="_Toc16163483"/>
      <w:bookmarkStart w:id="79" w:name="_Toc16206727"/>
      <w:r w:rsidRPr="002730CB">
        <w:t>Assessment</w:t>
      </w:r>
      <w:bookmarkEnd w:id="77"/>
      <w:bookmarkEnd w:id="78"/>
      <w:bookmarkEnd w:id="79"/>
    </w:p>
    <w:p w:rsidR="00CB1B60" w:rsidRPr="00CB1B60" w:rsidRDefault="00CB1B60" w:rsidP="00CB1B60">
      <w:pPr>
        <w:spacing w:after="120"/>
      </w:pPr>
      <w:r w:rsidRPr="00CB1B60">
        <w:t xml:space="preserve">Applied syllabuses use </w:t>
      </w:r>
      <w:r w:rsidRPr="00CB1B60">
        <w:rPr>
          <w:i/>
        </w:rPr>
        <w:t xml:space="preserve">four </w:t>
      </w:r>
      <w:r w:rsidRPr="00CB1B60">
        <w:t xml:space="preserve">summative internal assessments from Units 3 and 4 to determine a student’s exit result. </w:t>
      </w:r>
    </w:p>
    <w:p w:rsidR="00CB1B60" w:rsidRPr="00CB1B60" w:rsidRDefault="00CB1B60" w:rsidP="00CB1B60">
      <w:pPr>
        <w:spacing w:after="120"/>
      </w:pPr>
      <w:r w:rsidRPr="00CB1B60">
        <w:t xml:space="preserve">Schools should develop at least </w:t>
      </w:r>
      <w:r w:rsidRPr="00CB1B60">
        <w:rPr>
          <w:i/>
        </w:rPr>
        <w:t>two</w:t>
      </w:r>
      <w:r w:rsidRPr="00CB1B60">
        <w:t xml:space="preserve"> but no more than </w:t>
      </w:r>
      <w:r w:rsidRPr="00CB1B60">
        <w:rPr>
          <w:i/>
        </w:rPr>
        <w:t>four</w:t>
      </w:r>
      <w:r w:rsidRPr="00CB1B60">
        <w:t xml:space="preserve"> internal assessments for Units 1 and 2 and these assessments should provide students with opportunities to become familiar with the summative internal assessment techniques to be used for Units 3 and 4. </w:t>
      </w:r>
    </w:p>
    <w:p w:rsidR="00CB1B60" w:rsidRPr="00CB1B60" w:rsidRDefault="00CB1B60" w:rsidP="00CB1B60">
      <w:pPr>
        <w:spacing w:after="120"/>
      </w:pPr>
      <w:r w:rsidRPr="00CB1B60">
        <w:t xml:space="preserve">Applied syllabuses do not use external assessment. </w:t>
      </w:r>
    </w:p>
    <w:p w:rsidR="00CB1B60" w:rsidRDefault="00CB1B60" w:rsidP="00435B2A">
      <w:pPr>
        <w:pStyle w:val="Heading4"/>
      </w:pPr>
      <w:r>
        <w:t>Instrument-specific standards matrixes</w:t>
      </w:r>
    </w:p>
    <w:p w:rsidR="00CB1B60" w:rsidRDefault="00CB1B60" w:rsidP="00435B2A">
      <w:pPr>
        <w:pStyle w:val="BodyText"/>
      </w:pPr>
      <w:r w:rsidRPr="00CB1B60">
        <w:t xml:space="preserve">For each assessment instrument, schools develop an instrument-specific standards matrix by selecting the syllabus standards descriptors relevant to the task and the dimension/s being assessed. The matrix is shared with students and used as a tool for making judgments about the quality of students’ responses to the instrument. Schools develop assessments to allow students to demonstrate the range of standards. </w:t>
      </w:r>
    </w:p>
    <w:p w:rsidR="00CB1B60" w:rsidRPr="005A4315" w:rsidRDefault="00435B2A" w:rsidP="00435B2A">
      <w:pPr>
        <w:pStyle w:val="Heading4"/>
        <w:rPr>
          <w:sz w:val="20"/>
          <w:szCs w:val="20"/>
        </w:rPr>
      </w:pPr>
      <w:r w:rsidRPr="005A4315">
        <w:rPr>
          <w:sz w:val="20"/>
          <w:szCs w:val="20"/>
        </w:rPr>
        <w:t xml:space="preserve">English and Essential Mathematics </w:t>
      </w:r>
      <w:r w:rsidR="001132AB" w:rsidRPr="005A4315">
        <w:rPr>
          <w:sz w:val="20"/>
          <w:szCs w:val="20"/>
        </w:rPr>
        <w:t>—</w:t>
      </w:r>
      <w:r w:rsidRPr="005A4315">
        <w:rPr>
          <w:sz w:val="20"/>
          <w:szCs w:val="20"/>
        </w:rPr>
        <w:t xml:space="preserve"> </w:t>
      </w:r>
      <w:r w:rsidR="00CB1B60" w:rsidRPr="005A4315">
        <w:rPr>
          <w:sz w:val="20"/>
          <w:szCs w:val="20"/>
        </w:rPr>
        <w:t xml:space="preserve">Common internal assessment </w:t>
      </w:r>
    </w:p>
    <w:p w:rsidR="00435B2A" w:rsidRPr="005A4315" w:rsidRDefault="00435B2A" w:rsidP="00435B2A">
      <w:pPr>
        <w:pStyle w:val="BodyText"/>
        <w:rPr>
          <w:sz w:val="20"/>
          <w:szCs w:val="20"/>
        </w:rPr>
      </w:pPr>
      <w:r w:rsidRPr="005A4315">
        <w:rPr>
          <w:sz w:val="20"/>
          <w:szCs w:val="20"/>
        </w:rPr>
        <w:t xml:space="preserve">Students complete a total of </w:t>
      </w:r>
      <w:r w:rsidRPr="005A4315">
        <w:rPr>
          <w:i/>
          <w:sz w:val="20"/>
          <w:szCs w:val="20"/>
        </w:rPr>
        <w:t>four</w:t>
      </w:r>
      <w:r w:rsidRPr="005A4315">
        <w:rPr>
          <w:sz w:val="20"/>
          <w:szCs w:val="20"/>
        </w:rPr>
        <w:t xml:space="preserve"> summative internal assessments in Units 3 and 4 that count toward their overall subject result. Schools develop </w:t>
      </w:r>
      <w:r w:rsidRPr="005A4315">
        <w:rPr>
          <w:i/>
          <w:sz w:val="20"/>
          <w:szCs w:val="20"/>
        </w:rPr>
        <w:t>three</w:t>
      </w:r>
      <w:r w:rsidRPr="005A4315">
        <w:rPr>
          <w:sz w:val="20"/>
          <w:szCs w:val="20"/>
        </w:rPr>
        <w:t xml:space="preserve"> of the summative internal assessments for each senior subject and the other summative assessment is a common internal assessment (CIA) developed by the QCAA. </w:t>
      </w:r>
    </w:p>
    <w:p w:rsidR="00CB1B60" w:rsidRPr="005A4315" w:rsidRDefault="00CB1B60" w:rsidP="00CB1B60">
      <w:pPr>
        <w:pStyle w:val="BodyText"/>
        <w:rPr>
          <w:sz w:val="20"/>
          <w:szCs w:val="20"/>
        </w:rPr>
      </w:pPr>
      <w:r w:rsidRPr="005A4315">
        <w:rPr>
          <w:sz w:val="20"/>
          <w:szCs w:val="20"/>
        </w:rPr>
        <w:t>The CIA for Essential English and Essential Mathematics is based on the learning described in Unit 3 of the respective syllabus. The CIA is:</w:t>
      </w:r>
    </w:p>
    <w:p w:rsidR="00CB1B60" w:rsidRPr="005A4315" w:rsidRDefault="00CB1B60" w:rsidP="00435B2A">
      <w:pPr>
        <w:pStyle w:val="ListBullet0"/>
        <w:rPr>
          <w:sz w:val="20"/>
          <w:szCs w:val="20"/>
        </w:rPr>
      </w:pPr>
      <w:r w:rsidRPr="005A4315">
        <w:rPr>
          <w:sz w:val="20"/>
          <w:szCs w:val="20"/>
        </w:rPr>
        <w:t>developed by the QCAA</w:t>
      </w:r>
    </w:p>
    <w:p w:rsidR="00CB1B60" w:rsidRPr="005A4315" w:rsidRDefault="00CB1B60" w:rsidP="00435B2A">
      <w:pPr>
        <w:pStyle w:val="ListBullet0"/>
        <w:rPr>
          <w:sz w:val="20"/>
          <w:szCs w:val="20"/>
        </w:rPr>
      </w:pPr>
      <w:r w:rsidRPr="005A4315">
        <w:rPr>
          <w:sz w:val="20"/>
          <w:szCs w:val="20"/>
        </w:rPr>
        <w:t>common to all schools</w:t>
      </w:r>
    </w:p>
    <w:p w:rsidR="00CB1B60" w:rsidRPr="005A4315" w:rsidRDefault="00CB1B60" w:rsidP="00435B2A">
      <w:pPr>
        <w:pStyle w:val="ListBullet0"/>
        <w:rPr>
          <w:sz w:val="20"/>
          <w:szCs w:val="20"/>
        </w:rPr>
      </w:pPr>
      <w:r w:rsidRPr="005A4315">
        <w:rPr>
          <w:sz w:val="20"/>
          <w:szCs w:val="20"/>
        </w:rPr>
        <w:t>delivered to schools by the QCAA</w:t>
      </w:r>
    </w:p>
    <w:p w:rsidR="00CB1B60" w:rsidRPr="005A4315" w:rsidRDefault="00CB1B60" w:rsidP="00435B2A">
      <w:pPr>
        <w:pStyle w:val="ListBullet0"/>
        <w:rPr>
          <w:sz w:val="20"/>
          <w:szCs w:val="20"/>
        </w:rPr>
      </w:pPr>
      <w:r w:rsidRPr="005A4315">
        <w:rPr>
          <w:sz w:val="20"/>
          <w:szCs w:val="20"/>
        </w:rPr>
        <w:t xml:space="preserve">administered flexibly in Unit 3 </w:t>
      </w:r>
    </w:p>
    <w:p w:rsidR="00CB1B60" w:rsidRPr="005A4315" w:rsidRDefault="00CB1B60" w:rsidP="00435B2A">
      <w:pPr>
        <w:pStyle w:val="ListBullet0"/>
        <w:rPr>
          <w:sz w:val="20"/>
          <w:szCs w:val="20"/>
        </w:rPr>
      </w:pPr>
      <w:r w:rsidRPr="005A4315">
        <w:rPr>
          <w:sz w:val="20"/>
          <w:szCs w:val="20"/>
        </w:rPr>
        <w:t>administered under supervised conditions</w:t>
      </w:r>
    </w:p>
    <w:p w:rsidR="00CB1B60" w:rsidRPr="005A4315" w:rsidRDefault="00CB1B60" w:rsidP="00435B2A">
      <w:pPr>
        <w:pStyle w:val="ListBullet0"/>
        <w:rPr>
          <w:sz w:val="20"/>
          <w:szCs w:val="20"/>
        </w:rPr>
      </w:pPr>
      <w:r w:rsidRPr="005A4315">
        <w:rPr>
          <w:sz w:val="20"/>
          <w:szCs w:val="20"/>
        </w:rPr>
        <w:t>marked by the school according to a common marking scheme developed by the QCAA.</w:t>
      </w:r>
    </w:p>
    <w:p w:rsidR="00CB1B60" w:rsidRPr="005A4315" w:rsidRDefault="00CB1B60" w:rsidP="00CB1B60">
      <w:pPr>
        <w:pStyle w:val="BodyText"/>
        <w:rPr>
          <w:sz w:val="20"/>
          <w:szCs w:val="20"/>
        </w:rPr>
      </w:pPr>
      <w:r w:rsidRPr="005A4315">
        <w:rPr>
          <w:sz w:val="20"/>
          <w:szCs w:val="20"/>
        </w:rPr>
        <w:t>The CIA is not privileged over the other summative internal assessment.</w:t>
      </w:r>
    </w:p>
    <w:p w:rsidR="00CB1B60" w:rsidRPr="005A4315" w:rsidRDefault="00CB1B60" w:rsidP="009D3007">
      <w:pPr>
        <w:pStyle w:val="Heading4"/>
        <w:rPr>
          <w:sz w:val="20"/>
          <w:szCs w:val="20"/>
        </w:rPr>
      </w:pPr>
      <w:r w:rsidRPr="005A4315">
        <w:rPr>
          <w:sz w:val="20"/>
          <w:szCs w:val="20"/>
        </w:rPr>
        <w:t>Summative internal assessment — instrument-specific standards</w:t>
      </w:r>
    </w:p>
    <w:p w:rsidR="00CB1B60" w:rsidRPr="005A4315" w:rsidRDefault="00CB1B60" w:rsidP="00CB1B60">
      <w:pPr>
        <w:pStyle w:val="BodyText"/>
        <w:rPr>
          <w:sz w:val="20"/>
          <w:szCs w:val="20"/>
        </w:rPr>
      </w:pPr>
      <w:r w:rsidRPr="005A4315">
        <w:rPr>
          <w:sz w:val="20"/>
          <w:szCs w:val="20"/>
        </w:rPr>
        <w:t>The Essential English and Essential Mathematics syllabuses provide instrument-specific standards for the three summative internal assessments in Units 3 and 4.</w:t>
      </w:r>
    </w:p>
    <w:p w:rsidR="00A35F21" w:rsidRPr="005A4315" w:rsidRDefault="00CB1B60" w:rsidP="009D3007">
      <w:pPr>
        <w:pStyle w:val="BodyText"/>
        <w:rPr>
          <w:sz w:val="20"/>
          <w:szCs w:val="20"/>
        </w:rPr>
      </w:pPr>
      <w:r w:rsidRPr="005A4315">
        <w:rPr>
          <w:sz w:val="20"/>
          <w:szCs w:val="20"/>
        </w:rPr>
        <w:t>The instrument-specific standards describe the characteristics evident in student responses and align with the identified assessment objectives. Assessment objectives are drawn from the unit objectives and are contextualised for the requirements of the assessment instrument.</w:t>
      </w:r>
    </w:p>
    <w:p w:rsidR="00EE5ACF" w:rsidRPr="005A4315" w:rsidRDefault="00EE5ACF" w:rsidP="009D3007">
      <w:pPr>
        <w:pStyle w:val="Heading2"/>
        <w:rPr>
          <w:sz w:val="20"/>
          <w:szCs w:val="20"/>
        </w:rPr>
      </w:pPr>
      <w:bookmarkStart w:id="80" w:name="_Toc495675592"/>
      <w:bookmarkStart w:id="81" w:name="_Toc16163484"/>
      <w:bookmarkStart w:id="82" w:name="_Toc16206728"/>
      <w:r w:rsidRPr="005A4315">
        <w:rPr>
          <w:rStyle w:val="Heading2Char"/>
          <w:b/>
          <w:sz w:val="20"/>
          <w:szCs w:val="20"/>
        </w:rPr>
        <w:t>Senior External Examinations</w:t>
      </w:r>
      <w:bookmarkEnd w:id="80"/>
      <w:bookmarkEnd w:id="81"/>
      <w:bookmarkEnd w:id="82"/>
    </w:p>
    <w:p w:rsidR="00612E61" w:rsidRPr="005A4315" w:rsidRDefault="00612E61" w:rsidP="00612E61">
      <w:pPr>
        <w:pStyle w:val="Heading3"/>
        <w:rPr>
          <w:sz w:val="20"/>
          <w:szCs w:val="20"/>
        </w:rPr>
      </w:pPr>
      <w:bookmarkStart w:id="83" w:name="_Toc16163485"/>
      <w:r w:rsidRPr="005A4315">
        <w:rPr>
          <w:sz w:val="20"/>
          <w:szCs w:val="20"/>
        </w:rPr>
        <w:t>Senior External Examinations course overview</w:t>
      </w:r>
      <w:bookmarkEnd w:id="83"/>
    </w:p>
    <w:p w:rsidR="00EE5ACF" w:rsidRPr="005A4315" w:rsidRDefault="00EE5ACF" w:rsidP="009D3007">
      <w:pPr>
        <w:pStyle w:val="BodyText"/>
        <w:rPr>
          <w:sz w:val="20"/>
          <w:szCs w:val="20"/>
        </w:rPr>
      </w:pPr>
      <w:r w:rsidRPr="005A4315">
        <w:rPr>
          <w:sz w:val="20"/>
          <w:szCs w:val="20"/>
        </w:rPr>
        <w:t>A Senior External Examination syllabus sets out the aims, objectives, learning experiences and assessment requirements for each of these subjects.</w:t>
      </w:r>
    </w:p>
    <w:p w:rsidR="00EE5ACF" w:rsidRPr="005A4315" w:rsidRDefault="00EE5ACF" w:rsidP="009D3007">
      <w:pPr>
        <w:pStyle w:val="BodyText"/>
        <w:rPr>
          <w:sz w:val="20"/>
          <w:szCs w:val="20"/>
        </w:rPr>
      </w:pPr>
      <w:r w:rsidRPr="005A4315">
        <w:rPr>
          <w:sz w:val="20"/>
          <w:szCs w:val="20"/>
        </w:rPr>
        <w:t xml:space="preserve">Results are based solely on students’ demonstrated achievement in examinations. Work undertaken before an examination is not assessed. </w:t>
      </w:r>
    </w:p>
    <w:p w:rsidR="00EE5ACF" w:rsidRPr="005A4315" w:rsidRDefault="00EE5ACF" w:rsidP="009D3007">
      <w:pPr>
        <w:pStyle w:val="BodyText"/>
        <w:rPr>
          <w:sz w:val="20"/>
          <w:szCs w:val="20"/>
        </w:rPr>
      </w:pPr>
      <w:r w:rsidRPr="005A4315">
        <w:rPr>
          <w:sz w:val="20"/>
          <w:szCs w:val="20"/>
        </w:rPr>
        <w:t>The Senior External Examination is for:</w:t>
      </w:r>
    </w:p>
    <w:p w:rsidR="00EE5ACF" w:rsidRPr="005A4315" w:rsidRDefault="00EE5ACF" w:rsidP="009D3007">
      <w:pPr>
        <w:pStyle w:val="ListBullet0"/>
        <w:rPr>
          <w:sz w:val="20"/>
          <w:szCs w:val="20"/>
        </w:rPr>
      </w:pPr>
      <w:r w:rsidRPr="005A4315">
        <w:rPr>
          <w:sz w:val="20"/>
          <w:szCs w:val="20"/>
        </w:rPr>
        <w:t>low candidature subjects not otherwise offered as a General subject in Queensland</w:t>
      </w:r>
    </w:p>
    <w:p w:rsidR="00EE5ACF" w:rsidRPr="005A4315" w:rsidRDefault="00EE5ACF" w:rsidP="009D3007">
      <w:pPr>
        <w:pStyle w:val="ListBullet0"/>
        <w:rPr>
          <w:sz w:val="20"/>
          <w:szCs w:val="20"/>
        </w:rPr>
      </w:pPr>
      <w:r w:rsidRPr="005A4315">
        <w:rPr>
          <w:sz w:val="20"/>
          <w:szCs w:val="20"/>
        </w:rPr>
        <w:t>students in their final year of senior schooling who are unable to access particular subjects at their school</w:t>
      </w:r>
    </w:p>
    <w:p w:rsidR="00EE5ACF" w:rsidRPr="005A4315" w:rsidRDefault="00EE5ACF" w:rsidP="009D3007">
      <w:pPr>
        <w:pStyle w:val="ListBullet0"/>
        <w:rPr>
          <w:sz w:val="20"/>
          <w:szCs w:val="20"/>
        </w:rPr>
      </w:pPr>
      <w:r w:rsidRPr="005A4315">
        <w:rPr>
          <w:sz w:val="20"/>
          <w:szCs w:val="20"/>
        </w:rPr>
        <w:t xml:space="preserve">adult students (people of any age not enrolled at a Queensland secondary school) </w:t>
      </w:r>
    </w:p>
    <w:p w:rsidR="00EE5ACF" w:rsidRPr="005A4315" w:rsidRDefault="00EE5ACF" w:rsidP="009D3007">
      <w:pPr>
        <w:pStyle w:val="ListBullet2"/>
        <w:rPr>
          <w:sz w:val="20"/>
          <w:szCs w:val="20"/>
        </w:rPr>
      </w:pPr>
      <w:r w:rsidRPr="005A4315">
        <w:rPr>
          <w:sz w:val="20"/>
          <w:szCs w:val="20"/>
        </w:rPr>
        <w:t>to meet tertiary entrance or employment requirements</w:t>
      </w:r>
    </w:p>
    <w:p w:rsidR="00EE5ACF" w:rsidRPr="005A4315" w:rsidRDefault="00EE5ACF" w:rsidP="009D3007">
      <w:pPr>
        <w:pStyle w:val="ListBullet2"/>
        <w:rPr>
          <w:sz w:val="20"/>
          <w:szCs w:val="20"/>
        </w:rPr>
      </w:pPr>
      <w:r w:rsidRPr="005A4315">
        <w:rPr>
          <w:sz w:val="20"/>
          <w:szCs w:val="20"/>
        </w:rPr>
        <w:t>for personal interest.</w:t>
      </w:r>
    </w:p>
    <w:p w:rsidR="00EE5ACF" w:rsidRPr="005A4315" w:rsidRDefault="00EE5ACF" w:rsidP="009D3007">
      <w:pPr>
        <w:pStyle w:val="BodyText"/>
        <w:rPr>
          <w:sz w:val="20"/>
          <w:szCs w:val="20"/>
        </w:rPr>
      </w:pPr>
      <w:r w:rsidRPr="005A4315">
        <w:rPr>
          <w:sz w:val="20"/>
          <w:szCs w:val="20"/>
        </w:rPr>
        <w:t>Senior External Examination results may contribute credit to the award of a QCE and contribute to ATAR calculations.</w:t>
      </w:r>
    </w:p>
    <w:p w:rsidR="00DB0CAB" w:rsidRPr="005A4315" w:rsidRDefault="00DB0CAB" w:rsidP="009D3007">
      <w:pPr>
        <w:pStyle w:val="BodyText"/>
        <w:rPr>
          <w:sz w:val="20"/>
          <w:szCs w:val="20"/>
        </w:rPr>
      </w:pPr>
      <w:r w:rsidRPr="005A4315">
        <w:rPr>
          <w:sz w:val="20"/>
          <w:szCs w:val="20"/>
        </w:rPr>
        <w:t xml:space="preserve">For more information about the Senior External Examination, see: </w:t>
      </w:r>
      <w:hyperlink r:id="rId15" w:history="1">
        <w:r w:rsidRPr="005A4315">
          <w:rPr>
            <w:rStyle w:val="Hyperlink"/>
            <w:sz w:val="20"/>
            <w:szCs w:val="20"/>
          </w:rPr>
          <w:t>www.qcaa.qld.edu.au/senior/see</w:t>
        </w:r>
      </w:hyperlink>
      <w:r w:rsidRPr="005A4315">
        <w:rPr>
          <w:sz w:val="20"/>
          <w:szCs w:val="20"/>
        </w:rPr>
        <w:t>.</w:t>
      </w:r>
    </w:p>
    <w:p w:rsidR="00612E61" w:rsidRPr="005A4315" w:rsidRDefault="00612E61" w:rsidP="00612E61">
      <w:pPr>
        <w:pStyle w:val="Heading2"/>
        <w:rPr>
          <w:sz w:val="20"/>
          <w:szCs w:val="20"/>
        </w:rPr>
      </w:pPr>
      <w:bookmarkStart w:id="84" w:name="_Toc495675593"/>
      <w:bookmarkStart w:id="85" w:name="_Toc16163486"/>
      <w:bookmarkStart w:id="86" w:name="_Toc16206729"/>
      <w:bookmarkStart w:id="87" w:name="_Toc494209771"/>
      <w:r w:rsidRPr="005A4315">
        <w:rPr>
          <w:sz w:val="20"/>
          <w:szCs w:val="20"/>
        </w:rPr>
        <w:t>Assessment</w:t>
      </w:r>
      <w:bookmarkEnd w:id="84"/>
      <w:bookmarkEnd w:id="85"/>
      <w:bookmarkEnd w:id="86"/>
    </w:p>
    <w:p w:rsidR="00612E61" w:rsidRPr="005A4315" w:rsidRDefault="00612E61" w:rsidP="00612E61">
      <w:pPr>
        <w:pStyle w:val="BodyText"/>
        <w:rPr>
          <w:sz w:val="20"/>
          <w:szCs w:val="20"/>
        </w:rPr>
      </w:pPr>
      <w:r w:rsidRPr="005A4315">
        <w:rPr>
          <w:sz w:val="20"/>
          <w:szCs w:val="20"/>
        </w:rPr>
        <w:t xml:space="preserve">The Senior External Examination consists of individual subject examinations that are held once each year in Term 4. Important dates and the examination timetable are published in the </w:t>
      </w:r>
      <w:r w:rsidR="000F6D2D" w:rsidRPr="005A4315">
        <w:rPr>
          <w:sz w:val="20"/>
          <w:szCs w:val="20"/>
        </w:rPr>
        <w:t xml:space="preserve">Senior Education Profile (SEP) calendar, available at: </w:t>
      </w:r>
      <w:hyperlink r:id="rId16" w:history="1">
        <w:r w:rsidR="000F6D2D" w:rsidRPr="005A4315">
          <w:rPr>
            <w:rStyle w:val="Hyperlink"/>
            <w:sz w:val="20"/>
            <w:szCs w:val="20"/>
          </w:rPr>
          <w:t>https://www.qcaa.qld.edu.au/senior/sep-calendar</w:t>
        </w:r>
      </w:hyperlink>
      <w:r w:rsidR="000F6D2D" w:rsidRPr="005A4315">
        <w:rPr>
          <w:sz w:val="20"/>
          <w:szCs w:val="20"/>
        </w:rPr>
        <w:t>.</w:t>
      </w:r>
    </w:p>
    <w:p w:rsidR="004E4239" w:rsidRPr="005A4315" w:rsidRDefault="00612E61" w:rsidP="00612E61">
      <w:pPr>
        <w:pStyle w:val="BodyText"/>
        <w:rPr>
          <w:sz w:val="20"/>
          <w:szCs w:val="20"/>
        </w:rPr>
      </w:pPr>
      <w:r w:rsidRPr="005A4315">
        <w:rPr>
          <w:sz w:val="20"/>
          <w:szCs w:val="20"/>
        </w:rPr>
        <w:t xml:space="preserve">Results are based solely on students’ demonstrated achievement in the examinations. Work undertaken before an examination is not assessed. Results are reported as a mark and grade of A–E. </w:t>
      </w:r>
      <w:r w:rsidR="004E4239" w:rsidRPr="005A4315">
        <w:rPr>
          <w:sz w:val="20"/>
          <w:szCs w:val="20"/>
        </w:rPr>
        <w:t>For more information about results, see the QCE and QCIA policy and procedures handbook, Section 10</w:t>
      </w:r>
      <w:r w:rsidR="00323B0B" w:rsidRPr="005A4315">
        <w:rPr>
          <w:sz w:val="20"/>
          <w:szCs w:val="20"/>
        </w:rPr>
        <w:t>.</w:t>
      </w:r>
      <w:r w:rsidR="005A4315" w:rsidRPr="005A4315">
        <w:rPr>
          <w:sz w:val="20"/>
          <w:szCs w:val="20"/>
        </w:rPr>
        <w:t xml:space="preserve">  </w:t>
      </w:r>
    </w:p>
    <w:p w:rsidR="001A396D" w:rsidRPr="005A4315" w:rsidRDefault="001A396D" w:rsidP="008C3C06">
      <w:pPr>
        <w:pStyle w:val="Heading2"/>
        <w:rPr>
          <w:sz w:val="20"/>
          <w:szCs w:val="20"/>
        </w:rPr>
      </w:pPr>
      <w:bookmarkStart w:id="88" w:name="_Toc495675595"/>
      <w:bookmarkStart w:id="89" w:name="_Toc16163487"/>
      <w:bookmarkStart w:id="90" w:name="_Toc16206730"/>
      <w:bookmarkEnd w:id="87"/>
      <w:r w:rsidRPr="005A4315">
        <w:rPr>
          <w:sz w:val="20"/>
          <w:szCs w:val="20"/>
        </w:rPr>
        <w:t>Assessment</w:t>
      </w:r>
      <w:bookmarkEnd w:id="88"/>
      <w:bookmarkEnd w:id="89"/>
      <w:bookmarkEnd w:id="90"/>
    </w:p>
    <w:p w:rsidR="008E0082" w:rsidRPr="005A4315" w:rsidRDefault="006579C1" w:rsidP="004471F4">
      <w:pPr>
        <w:pStyle w:val="BodyText"/>
        <w:rPr>
          <w:sz w:val="20"/>
          <w:szCs w:val="20"/>
        </w:rPr>
      </w:pPr>
      <w:r w:rsidRPr="005A4315">
        <w:rPr>
          <w:sz w:val="20"/>
          <w:szCs w:val="20"/>
        </w:rPr>
        <w:t xml:space="preserve">A </w:t>
      </w:r>
      <w:r w:rsidR="004038FB" w:rsidRPr="005A4315">
        <w:rPr>
          <w:sz w:val="20"/>
          <w:szCs w:val="20"/>
        </w:rPr>
        <w:t>Short Course use</w:t>
      </w:r>
      <w:r w:rsidRPr="005A4315">
        <w:rPr>
          <w:sz w:val="20"/>
          <w:szCs w:val="20"/>
        </w:rPr>
        <w:t>s</w:t>
      </w:r>
      <w:r w:rsidR="004038FB" w:rsidRPr="005A4315">
        <w:rPr>
          <w:sz w:val="20"/>
          <w:szCs w:val="20"/>
        </w:rPr>
        <w:t xml:space="preserve"> two summative school-developed assessments to determine a student’s exit result. Short Course</w:t>
      </w:r>
      <w:r w:rsidRPr="005A4315">
        <w:rPr>
          <w:sz w:val="20"/>
          <w:szCs w:val="20"/>
        </w:rPr>
        <w:t xml:space="preserve">s </w:t>
      </w:r>
      <w:r w:rsidR="004038FB" w:rsidRPr="005A4315">
        <w:rPr>
          <w:sz w:val="20"/>
          <w:szCs w:val="20"/>
        </w:rPr>
        <w:t>do not use external assessment.</w:t>
      </w:r>
    </w:p>
    <w:p w:rsidR="00BD213F" w:rsidRPr="005A4315" w:rsidRDefault="00BD213F" w:rsidP="00BD213F">
      <w:pPr>
        <w:pStyle w:val="BodyText"/>
        <w:rPr>
          <w:sz w:val="20"/>
          <w:szCs w:val="20"/>
        </w:rPr>
      </w:pPr>
      <w:r w:rsidRPr="005A4315">
        <w:rPr>
          <w:sz w:val="20"/>
          <w:szCs w:val="20"/>
        </w:rPr>
        <w:t>The Short Course syllabus provides instrument-specific standards for the two summative internal assessments.</w:t>
      </w:r>
    </w:p>
    <w:p w:rsidR="00BD213F" w:rsidRPr="005A4315" w:rsidRDefault="00BD213F" w:rsidP="00547332">
      <w:pPr>
        <w:rPr>
          <w:sz w:val="20"/>
          <w:szCs w:val="20"/>
        </w:rPr>
      </w:pPr>
    </w:p>
    <w:p w:rsidR="00CF16AC" w:rsidRPr="005A4315" w:rsidRDefault="00CF16AC" w:rsidP="00547332">
      <w:pPr>
        <w:rPr>
          <w:sz w:val="20"/>
          <w:szCs w:val="20"/>
        </w:rPr>
        <w:sectPr w:rsidR="00CF16AC" w:rsidRPr="005A4315" w:rsidSect="00A91E0A">
          <w:footerReference w:type="default" r:id="rId17"/>
          <w:pgSz w:w="11907" w:h="16840" w:code="9"/>
          <w:pgMar w:top="1134" w:right="1418" w:bottom="1701" w:left="1418" w:header="567" w:footer="284" w:gutter="0"/>
          <w:pgNumType w:start="1"/>
          <w:cols w:space="720"/>
          <w:formProt w:val="0"/>
          <w:noEndnote/>
          <w:docGrid w:linePitch="299"/>
        </w:sectPr>
      </w:pPr>
    </w:p>
    <w:p w:rsidR="0057470A" w:rsidRDefault="0057470A" w:rsidP="00CF16AC">
      <w:pPr>
        <w:pStyle w:val="Heading1"/>
        <w:spacing w:before="0"/>
      </w:pPr>
      <w:bookmarkStart w:id="91" w:name="_Toc495675596"/>
      <w:bookmarkStart w:id="92" w:name="_Toc16163488"/>
      <w:bookmarkStart w:id="93" w:name="_Toc16206731"/>
      <w:r>
        <w:t>QCAA</w:t>
      </w:r>
      <w:r w:rsidR="00EA1418">
        <w:t xml:space="preserve"> senior</w:t>
      </w:r>
      <w:r>
        <w:t xml:space="preserve"> syllabuses</w:t>
      </w:r>
      <w:bookmarkEnd w:id="91"/>
      <w:bookmarkEnd w:id="92"/>
      <w:bookmarkEnd w:id="93"/>
    </w:p>
    <w:p w:rsidR="006923A3" w:rsidRDefault="006923A3" w:rsidP="006923A3">
      <w:pPr>
        <w:pStyle w:val="Heading2"/>
        <w:spacing w:after="10" w:line="259" w:lineRule="auto"/>
        <w:ind w:left="118"/>
        <w:rPr>
          <w:sz w:val="24"/>
        </w:rPr>
        <w:sectPr w:rsidR="006923A3" w:rsidSect="006923A3">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134" w:right="1418" w:bottom="1247" w:left="1418" w:header="567" w:footer="284" w:gutter="0"/>
          <w:cols w:space="720"/>
          <w:formProt w:val="0"/>
          <w:noEndnote/>
          <w:docGrid w:linePitch="299"/>
        </w:sectPr>
      </w:pPr>
    </w:p>
    <w:p w:rsidR="006923A3" w:rsidRPr="006923A3" w:rsidRDefault="006923A3" w:rsidP="006923A3">
      <w:pPr>
        <w:pStyle w:val="Heading2"/>
        <w:spacing w:before="0" w:after="0" w:line="240" w:lineRule="auto"/>
        <w:ind w:left="118"/>
        <w:rPr>
          <w:sz w:val="22"/>
          <w:szCs w:val="22"/>
        </w:rPr>
      </w:pPr>
      <w:bookmarkStart w:id="94" w:name="_Toc16163489"/>
      <w:bookmarkStart w:id="95" w:name="_Toc16206732"/>
      <w:r w:rsidRPr="006923A3">
        <w:rPr>
          <w:sz w:val="22"/>
          <w:szCs w:val="22"/>
        </w:rPr>
        <w:t>Mathematics</w:t>
      </w:r>
      <w:bookmarkEnd w:id="94"/>
      <w:bookmarkEnd w:id="95"/>
      <w:r w:rsidRPr="006923A3">
        <w:rPr>
          <w:sz w:val="22"/>
          <w:szCs w:val="22"/>
        </w:rPr>
        <w:t xml:space="preserve"> </w:t>
      </w:r>
    </w:p>
    <w:p w:rsidR="006923A3" w:rsidRPr="006923A3" w:rsidRDefault="006923A3" w:rsidP="006923A3">
      <w:pPr>
        <w:pStyle w:val="Heading2"/>
        <w:spacing w:before="0" w:after="0" w:line="240" w:lineRule="auto"/>
        <w:ind w:left="118"/>
        <w:rPr>
          <w:sz w:val="22"/>
          <w:szCs w:val="22"/>
        </w:rPr>
      </w:pPr>
      <w:bookmarkStart w:id="96" w:name="_Toc16163490"/>
      <w:bookmarkStart w:id="97" w:name="_Toc16205676"/>
      <w:bookmarkStart w:id="98" w:name="_Toc16206733"/>
      <w:r w:rsidRPr="006923A3">
        <w:rPr>
          <w:b w:val="0"/>
          <w:color w:val="6D6F70"/>
          <w:sz w:val="22"/>
          <w:szCs w:val="22"/>
        </w:rPr>
        <w:t>General</w:t>
      </w:r>
      <w:bookmarkEnd w:id="96"/>
      <w:bookmarkEnd w:id="97"/>
      <w:bookmarkEnd w:id="98"/>
      <w:r w:rsidRPr="006923A3">
        <w:rPr>
          <w:b w:val="0"/>
          <w:color w:val="6D6F70"/>
          <w:sz w:val="22"/>
          <w:szCs w:val="22"/>
        </w:rPr>
        <w:t xml:space="preserve"> </w:t>
      </w:r>
    </w:p>
    <w:p w:rsidR="006923A3" w:rsidRPr="006923A3" w:rsidRDefault="006923A3" w:rsidP="006923A3">
      <w:pPr>
        <w:numPr>
          <w:ilvl w:val="0"/>
          <w:numId w:val="41"/>
        </w:numPr>
        <w:spacing w:line="240" w:lineRule="auto"/>
        <w:ind w:hanging="170"/>
        <w:rPr>
          <w:sz w:val="22"/>
          <w:szCs w:val="22"/>
        </w:rPr>
      </w:pPr>
      <w:r w:rsidRPr="006923A3">
        <w:rPr>
          <w:sz w:val="22"/>
          <w:szCs w:val="22"/>
        </w:rPr>
        <w:t xml:space="preserve">General Mathematics </w:t>
      </w:r>
    </w:p>
    <w:p w:rsidR="006923A3" w:rsidRPr="006923A3" w:rsidRDefault="006923A3" w:rsidP="006923A3">
      <w:pPr>
        <w:numPr>
          <w:ilvl w:val="0"/>
          <w:numId w:val="41"/>
        </w:numPr>
        <w:spacing w:line="240" w:lineRule="auto"/>
        <w:ind w:hanging="170"/>
        <w:rPr>
          <w:sz w:val="22"/>
          <w:szCs w:val="22"/>
        </w:rPr>
      </w:pPr>
      <w:r w:rsidRPr="006923A3">
        <w:rPr>
          <w:sz w:val="22"/>
          <w:szCs w:val="22"/>
        </w:rPr>
        <w:t xml:space="preserve">Mathematical Methods </w:t>
      </w:r>
    </w:p>
    <w:p w:rsidR="006923A3" w:rsidRDefault="006923A3" w:rsidP="006923A3">
      <w:pPr>
        <w:numPr>
          <w:ilvl w:val="0"/>
          <w:numId w:val="41"/>
        </w:numPr>
        <w:spacing w:line="240" w:lineRule="auto"/>
        <w:ind w:hanging="170"/>
        <w:rPr>
          <w:sz w:val="22"/>
          <w:szCs w:val="22"/>
        </w:rPr>
      </w:pPr>
      <w:r w:rsidRPr="006923A3">
        <w:rPr>
          <w:sz w:val="22"/>
          <w:szCs w:val="22"/>
        </w:rPr>
        <w:t xml:space="preserve">Specialist Mathematics </w:t>
      </w:r>
    </w:p>
    <w:p w:rsidR="006923A3" w:rsidRPr="006923A3" w:rsidRDefault="006923A3" w:rsidP="006923A3">
      <w:pPr>
        <w:spacing w:line="240" w:lineRule="auto"/>
        <w:ind w:left="103"/>
        <w:rPr>
          <w:sz w:val="22"/>
          <w:szCs w:val="22"/>
        </w:rPr>
      </w:pPr>
      <w:r w:rsidRPr="006923A3">
        <w:rPr>
          <w:b/>
          <w:color w:val="6D6F70"/>
          <w:sz w:val="22"/>
          <w:szCs w:val="22"/>
        </w:rPr>
        <w:t xml:space="preserve">Applied </w:t>
      </w:r>
    </w:p>
    <w:p w:rsidR="006923A3" w:rsidRPr="006923A3" w:rsidRDefault="006923A3" w:rsidP="006923A3">
      <w:pPr>
        <w:numPr>
          <w:ilvl w:val="0"/>
          <w:numId w:val="41"/>
        </w:numPr>
        <w:spacing w:line="240" w:lineRule="auto"/>
        <w:ind w:hanging="170"/>
        <w:rPr>
          <w:sz w:val="22"/>
          <w:szCs w:val="22"/>
        </w:rPr>
      </w:pPr>
      <w:r w:rsidRPr="006923A3">
        <w:rPr>
          <w:sz w:val="22"/>
          <w:szCs w:val="22"/>
        </w:rPr>
        <w:t xml:space="preserve">Essential Mathematics </w:t>
      </w:r>
    </w:p>
    <w:p w:rsidR="006923A3" w:rsidRPr="006923A3" w:rsidRDefault="006923A3" w:rsidP="006923A3">
      <w:pPr>
        <w:spacing w:line="240" w:lineRule="auto"/>
        <w:ind w:left="103"/>
        <w:rPr>
          <w:sz w:val="22"/>
          <w:szCs w:val="22"/>
        </w:rPr>
      </w:pPr>
      <w:r w:rsidRPr="006923A3">
        <w:rPr>
          <w:b/>
          <w:color w:val="6D6F70"/>
          <w:sz w:val="22"/>
          <w:szCs w:val="22"/>
        </w:rPr>
        <w:t xml:space="preserve">Short Course </w:t>
      </w:r>
    </w:p>
    <w:p w:rsidR="006923A3" w:rsidRPr="006923A3" w:rsidRDefault="006923A3" w:rsidP="006923A3">
      <w:pPr>
        <w:numPr>
          <w:ilvl w:val="0"/>
          <w:numId w:val="41"/>
        </w:numPr>
        <w:spacing w:line="240" w:lineRule="auto"/>
        <w:ind w:hanging="170"/>
        <w:rPr>
          <w:sz w:val="22"/>
          <w:szCs w:val="22"/>
        </w:rPr>
      </w:pPr>
      <w:r w:rsidRPr="006923A3">
        <w:rPr>
          <w:sz w:val="22"/>
          <w:szCs w:val="22"/>
        </w:rPr>
        <w:t xml:space="preserve">Numeracy </w:t>
      </w:r>
    </w:p>
    <w:p w:rsidR="006923A3" w:rsidRDefault="006923A3" w:rsidP="006923A3">
      <w:pPr>
        <w:pStyle w:val="Heading2"/>
        <w:spacing w:before="0" w:after="0" w:line="240" w:lineRule="auto"/>
        <w:ind w:left="118"/>
        <w:rPr>
          <w:sz w:val="22"/>
          <w:szCs w:val="22"/>
        </w:rPr>
      </w:pPr>
    </w:p>
    <w:p w:rsidR="003825A8" w:rsidRPr="003825A8" w:rsidRDefault="003825A8" w:rsidP="003825A8">
      <w:pPr>
        <w:pStyle w:val="BodyText"/>
      </w:pPr>
    </w:p>
    <w:p w:rsidR="006923A3" w:rsidRPr="006923A3" w:rsidRDefault="006923A3" w:rsidP="006923A3">
      <w:pPr>
        <w:pStyle w:val="Heading2"/>
        <w:spacing w:before="0" w:after="0" w:line="240" w:lineRule="auto"/>
        <w:ind w:left="118"/>
        <w:rPr>
          <w:sz w:val="22"/>
          <w:szCs w:val="22"/>
        </w:rPr>
      </w:pPr>
      <w:bookmarkStart w:id="99" w:name="_Toc16163491"/>
      <w:bookmarkStart w:id="100" w:name="_Toc16206734"/>
      <w:r w:rsidRPr="006923A3">
        <w:rPr>
          <w:sz w:val="22"/>
          <w:szCs w:val="22"/>
        </w:rPr>
        <w:t>English</w:t>
      </w:r>
      <w:bookmarkEnd w:id="99"/>
      <w:bookmarkEnd w:id="100"/>
      <w:r w:rsidRPr="006923A3">
        <w:rPr>
          <w:sz w:val="22"/>
          <w:szCs w:val="22"/>
        </w:rPr>
        <w:t xml:space="preserve"> </w:t>
      </w:r>
    </w:p>
    <w:p w:rsidR="006923A3" w:rsidRPr="006923A3" w:rsidRDefault="006923A3" w:rsidP="006923A3">
      <w:pPr>
        <w:spacing w:line="240" w:lineRule="auto"/>
        <w:ind w:left="103"/>
        <w:rPr>
          <w:sz w:val="22"/>
          <w:szCs w:val="22"/>
        </w:rPr>
      </w:pPr>
      <w:r w:rsidRPr="006923A3">
        <w:rPr>
          <w:b/>
          <w:color w:val="6D6F70"/>
          <w:sz w:val="22"/>
          <w:szCs w:val="22"/>
        </w:rPr>
        <w:t xml:space="preserve">General </w:t>
      </w:r>
    </w:p>
    <w:p w:rsidR="006923A3" w:rsidRDefault="006923A3" w:rsidP="006923A3">
      <w:pPr>
        <w:numPr>
          <w:ilvl w:val="0"/>
          <w:numId w:val="42"/>
        </w:numPr>
        <w:spacing w:line="240" w:lineRule="auto"/>
        <w:ind w:hanging="170"/>
        <w:rPr>
          <w:sz w:val="22"/>
          <w:szCs w:val="22"/>
        </w:rPr>
      </w:pPr>
      <w:r w:rsidRPr="006923A3">
        <w:rPr>
          <w:sz w:val="22"/>
          <w:szCs w:val="22"/>
        </w:rPr>
        <w:t xml:space="preserve">English </w:t>
      </w:r>
    </w:p>
    <w:p w:rsidR="006923A3" w:rsidRPr="006923A3" w:rsidRDefault="006923A3" w:rsidP="006923A3">
      <w:pPr>
        <w:spacing w:line="240" w:lineRule="auto"/>
        <w:ind w:left="103"/>
        <w:rPr>
          <w:sz w:val="22"/>
          <w:szCs w:val="22"/>
        </w:rPr>
      </w:pPr>
      <w:r w:rsidRPr="006923A3">
        <w:rPr>
          <w:b/>
          <w:color w:val="6D6F70"/>
          <w:sz w:val="22"/>
          <w:szCs w:val="22"/>
        </w:rPr>
        <w:t xml:space="preserve">Applied </w:t>
      </w:r>
    </w:p>
    <w:p w:rsidR="006923A3" w:rsidRPr="006923A3" w:rsidRDefault="006923A3" w:rsidP="006923A3">
      <w:pPr>
        <w:numPr>
          <w:ilvl w:val="0"/>
          <w:numId w:val="42"/>
        </w:numPr>
        <w:spacing w:line="240" w:lineRule="auto"/>
        <w:ind w:hanging="170"/>
        <w:rPr>
          <w:sz w:val="22"/>
          <w:szCs w:val="22"/>
        </w:rPr>
      </w:pPr>
      <w:r w:rsidRPr="006923A3">
        <w:rPr>
          <w:sz w:val="22"/>
          <w:szCs w:val="22"/>
        </w:rPr>
        <w:t xml:space="preserve">Essential English </w:t>
      </w:r>
    </w:p>
    <w:p w:rsidR="006923A3" w:rsidRPr="006923A3" w:rsidRDefault="006923A3" w:rsidP="006923A3">
      <w:pPr>
        <w:spacing w:line="240" w:lineRule="auto"/>
        <w:ind w:left="103"/>
        <w:rPr>
          <w:sz w:val="22"/>
          <w:szCs w:val="22"/>
        </w:rPr>
      </w:pPr>
      <w:r w:rsidRPr="006923A3">
        <w:rPr>
          <w:b/>
          <w:color w:val="6D6F70"/>
          <w:sz w:val="22"/>
          <w:szCs w:val="22"/>
        </w:rPr>
        <w:t xml:space="preserve">Short Course </w:t>
      </w:r>
    </w:p>
    <w:p w:rsidR="006923A3" w:rsidRPr="006923A3" w:rsidRDefault="006923A3" w:rsidP="006923A3">
      <w:pPr>
        <w:numPr>
          <w:ilvl w:val="0"/>
          <w:numId w:val="42"/>
        </w:numPr>
        <w:spacing w:line="240" w:lineRule="auto"/>
        <w:ind w:hanging="170"/>
        <w:rPr>
          <w:sz w:val="22"/>
          <w:szCs w:val="22"/>
        </w:rPr>
      </w:pPr>
      <w:r w:rsidRPr="006923A3">
        <w:rPr>
          <w:sz w:val="22"/>
          <w:szCs w:val="22"/>
        </w:rPr>
        <w:t xml:space="preserve">Literacy </w:t>
      </w:r>
    </w:p>
    <w:p w:rsidR="003825A8" w:rsidRPr="006923A3" w:rsidRDefault="003825A8" w:rsidP="006923A3">
      <w:pPr>
        <w:pStyle w:val="BodyText"/>
      </w:pPr>
    </w:p>
    <w:p w:rsidR="006923A3" w:rsidRPr="006923A3" w:rsidRDefault="006923A3" w:rsidP="006923A3">
      <w:pPr>
        <w:pStyle w:val="Heading2"/>
        <w:spacing w:before="0" w:after="0" w:line="240" w:lineRule="auto"/>
        <w:ind w:left="118"/>
        <w:rPr>
          <w:sz w:val="22"/>
          <w:szCs w:val="22"/>
        </w:rPr>
      </w:pPr>
      <w:bookmarkStart w:id="101" w:name="_Toc16163492"/>
      <w:bookmarkStart w:id="102" w:name="_Toc16206735"/>
      <w:r w:rsidRPr="006923A3">
        <w:rPr>
          <w:sz w:val="22"/>
          <w:szCs w:val="22"/>
        </w:rPr>
        <w:t>Humanities</w:t>
      </w:r>
      <w:bookmarkEnd w:id="101"/>
      <w:bookmarkEnd w:id="102"/>
      <w:r w:rsidRPr="006923A3">
        <w:rPr>
          <w:sz w:val="22"/>
          <w:szCs w:val="22"/>
        </w:rPr>
        <w:t xml:space="preserve"> </w:t>
      </w:r>
    </w:p>
    <w:p w:rsidR="006923A3" w:rsidRPr="006923A3" w:rsidRDefault="006923A3" w:rsidP="006923A3">
      <w:pPr>
        <w:spacing w:line="240" w:lineRule="auto"/>
        <w:ind w:left="103"/>
        <w:rPr>
          <w:sz w:val="22"/>
          <w:szCs w:val="22"/>
        </w:rPr>
      </w:pPr>
      <w:r w:rsidRPr="006923A3">
        <w:rPr>
          <w:b/>
          <w:color w:val="6D6F70"/>
          <w:sz w:val="22"/>
          <w:szCs w:val="22"/>
        </w:rPr>
        <w:t xml:space="preserve">General </w:t>
      </w:r>
    </w:p>
    <w:p w:rsidR="006923A3" w:rsidRPr="006923A3" w:rsidRDefault="006923A3" w:rsidP="006923A3">
      <w:pPr>
        <w:numPr>
          <w:ilvl w:val="0"/>
          <w:numId w:val="43"/>
        </w:numPr>
        <w:spacing w:line="240" w:lineRule="auto"/>
        <w:ind w:hanging="170"/>
        <w:rPr>
          <w:sz w:val="22"/>
          <w:szCs w:val="22"/>
        </w:rPr>
      </w:pPr>
      <w:r w:rsidRPr="006923A3">
        <w:rPr>
          <w:sz w:val="22"/>
          <w:szCs w:val="22"/>
        </w:rPr>
        <w:t xml:space="preserve">Ancient History </w:t>
      </w:r>
    </w:p>
    <w:p w:rsidR="006923A3" w:rsidRPr="006923A3" w:rsidRDefault="006923A3" w:rsidP="006923A3">
      <w:pPr>
        <w:numPr>
          <w:ilvl w:val="0"/>
          <w:numId w:val="43"/>
        </w:numPr>
        <w:spacing w:line="240" w:lineRule="auto"/>
        <w:ind w:hanging="170"/>
        <w:rPr>
          <w:sz w:val="22"/>
          <w:szCs w:val="22"/>
        </w:rPr>
      </w:pPr>
      <w:r w:rsidRPr="006923A3">
        <w:rPr>
          <w:sz w:val="22"/>
          <w:szCs w:val="22"/>
        </w:rPr>
        <w:t xml:space="preserve">Business </w:t>
      </w:r>
    </w:p>
    <w:p w:rsidR="006923A3" w:rsidRPr="006923A3" w:rsidRDefault="006923A3" w:rsidP="006923A3">
      <w:pPr>
        <w:numPr>
          <w:ilvl w:val="0"/>
          <w:numId w:val="43"/>
        </w:numPr>
        <w:spacing w:line="240" w:lineRule="auto"/>
        <w:ind w:hanging="170"/>
        <w:rPr>
          <w:sz w:val="22"/>
          <w:szCs w:val="22"/>
        </w:rPr>
      </w:pPr>
      <w:r w:rsidRPr="006923A3">
        <w:rPr>
          <w:sz w:val="22"/>
          <w:szCs w:val="22"/>
        </w:rPr>
        <w:t xml:space="preserve">Legal Studies </w:t>
      </w:r>
    </w:p>
    <w:p w:rsidR="006923A3" w:rsidRDefault="006923A3" w:rsidP="006923A3">
      <w:pPr>
        <w:numPr>
          <w:ilvl w:val="0"/>
          <w:numId w:val="43"/>
        </w:numPr>
        <w:spacing w:line="240" w:lineRule="auto"/>
        <w:ind w:hanging="170"/>
        <w:rPr>
          <w:sz w:val="22"/>
          <w:szCs w:val="22"/>
        </w:rPr>
      </w:pPr>
      <w:r w:rsidRPr="006923A3">
        <w:rPr>
          <w:sz w:val="22"/>
          <w:szCs w:val="22"/>
        </w:rPr>
        <w:t xml:space="preserve">Modern History </w:t>
      </w:r>
    </w:p>
    <w:p w:rsidR="006923A3" w:rsidRPr="006923A3" w:rsidRDefault="006923A3" w:rsidP="006923A3">
      <w:pPr>
        <w:spacing w:line="240" w:lineRule="auto"/>
        <w:ind w:left="103"/>
        <w:rPr>
          <w:sz w:val="22"/>
          <w:szCs w:val="22"/>
        </w:rPr>
      </w:pPr>
      <w:r w:rsidRPr="006923A3">
        <w:rPr>
          <w:b/>
          <w:color w:val="6D6F70"/>
          <w:sz w:val="22"/>
          <w:szCs w:val="22"/>
        </w:rPr>
        <w:t xml:space="preserve">Applied </w:t>
      </w:r>
    </w:p>
    <w:p w:rsidR="006923A3" w:rsidRDefault="006923A3" w:rsidP="006923A3">
      <w:pPr>
        <w:numPr>
          <w:ilvl w:val="0"/>
          <w:numId w:val="43"/>
        </w:numPr>
        <w:spacing w:line="240" w:lineRule="auto"/>
        <w:ind w:hanging="170"/>
        <w:rPr>
          <w:sz w:val="22"/>
          <w:szCs w:val="22"/>
        </w:rPr>
      </w:pPr>
      <w:r w:rsidRPr="006923A3">
        <w:rPr>
          <w:sz w:val="22"/>
          <w:szCs w:val="22"/>
        </w:rPr>
        <w:t xml:space="preserve">Tourism </w:t>
      </w:r>
    </w:p>
    <w:p w:rsidR="006923A3" w:rsidRPr="006923A3" w:rsidRDefault="006923A3" w:rsidP="006923A3">
      <w:pPr>
        <w:spacing w:line="240" w:lineRule="auto"/>
        <w:ind w:left="103"/>
        <w:rPr>
          <w:sz w:val="22"/>
          <w:szCs w:val="22"/>
        </w:rPr>
      </w:pPr>
      <w:r w:rsidRPr="006923A3">
        <w:rPr>
          <w:b/>
          <w:color w:val="6D6F70"/>
          <w:sz w:val="22"/>
          <w:szCs w:val="22"/>
        </w:rPr>
        <w:t xml:space="preserve">Short course </w:t>
      </w:r>
    </w:p>
    <w:p w:rsidR="006923A3" w:rsidRPr="006923A3" w:rsidRDefault="006923A3" w:rsidP="006923A3">
      <w:pPr>
        <w:numPr>
          <w:ilvl w:val="0"/>
          <w:numId w:val="43"/>
        </w:numPr>
        <w:spacing w:line="240" w:lineRule="auto"/>
        <w:ind w:hanging="170"/>
        <w:rPr>
          <w:sz w:val="22"/>
          <w:szCs w:val="22"/>
        </w:rPr>
      </w:pPr>
      <w:r w:rsidRPr="006923A3">
        <w:rPr>
          <w:sz w:val="22"/>
          <w:szCs w:val="22"/>
        </w:rPr>
        <w:t xml:space="preserve">Career Education </w:t>
      </w:r>
    </w:p>
    <w:p w:rsidR="006923A3" w:rsidRDefault="006923A3" w:rsidP="006923A3">
      <w:pPr>
        <w:pStyle w:val="Heading2"/>
        <w:spacing w:before="0" w:after="0" w:line="240" w:lineRule="auto"/>
        <w:ind w:left="118"/>
        <w:rPr>
          <w:sz w:val="22"/>
          <w:szCs w:val="22"/>
        </w:rPr>
      </w:pPr>
    </w:p>
    <w:p w:rsidR="003825A8" w:rsidRPr="003825A8" w:rsidRDefault="003825A8" w:rsidP="003825A8">
      <w:pPr>
        <w:pStyle w:val="BodyText"/>
      </w:pPr>
    </w:p>
    <w:p w:rsidR="006923A3" w:rsidRPr="006923A3" w:rsidRDefault="006923A3" w:rsidP="006923A3">
      <w:pPr>
        <w:pStyle w:val="Heading2"/>
        <w:spacing w:before="0" w:after="0" w:line="240" w:lineRule="auto"/>
        <w:ind w:left="118"/>
        <w:rPr>
          <w:sz w:val="22"/>
          <w:szCs w:val="22"/>
        </w:rPr>
      </w:pPr>
      <w:bookmarkStart w:id="103" w:name="_Toc16163493"/>
      <w:bookmarkStart w:id="104" w:name="_Toc16206736"/>
      <w:r w:rsidRPr="006923A3">
        <w:rPr>
          <w:sz w:val="22"/>
          <w:szCs w:val="22"/>
        </w:rPr>
        <w:t>Technologies</w:t>
      </w:r>
      <w:bookmarkEnd w:id="103"/>
      <w:bookmarkEnd w:id="104"/>
      <w:r w:rsidRPr="006923A3">
        <w:rPr>
          <w:sz w:val="22"/>
          <w:szCs w:val="22"/>
        </w:rPr>
        <w:t xml:space="preserve"> </w:t>
      </w:r>
    </w:p>
    <w:p w:rsidR="006923A3" w:rsidRPr="006923A3" w:rsidRDefault="006923A3" w:rsidP="006923A3">
      <w:pPr>
        <w:spacing w:line="240" w:lineRule="auto"/>
        <w:ind w:left="103"/>
        <w:rPr>
          <w:sz w:val="22"/>
          <w:szCs w:val="22"/>
        </w:rPr>
      </w:pPr>
      <w:r w:rsidRPr="006923A3">
        <w:rPr>
          <w:b/>
          <w:color w:val="6D6F70"/>
          <w:sz w:val="22"/>
          <w:szCs w:val="22"/>
        </w:rPr>
        <w:t xml:space="preserve">General </w:t>
      </w:r>
    </w:p>
    <w:p w:rsidR="006923A3" w:rsidRPr="006923A3" w:rsidRDefault="006923A3" w:rsidP="006923A3">
      <w:pPr>
        <w:numPr>
          <w:ilvl w:val="0"/>
          <w:numId w:val="44"/>
        </w:numPr>
        <w:spacing w:line="240" w:lineRule="auto"/>
        <w:ind w:hanging="170"/>
        <w:rPr>
          <w:sz w:val="22"/>
          <w:szCs w:val="22"/>
        </w:rPr>
      </w:pPr>
      <w:r w:rsidRPr="006923A3">
        <w:rPr>
          <w:sz w:val="22"/>
          <w:szCs w:val="22"/>
        </w:rPr>
        <w:t xml:space="preserve">Design </w:t>
      </w:r>
    </w:p>
    <w:p w:rsidR="006923A3" w:rsidRDefault="006923A3" w:rsidP="006923A3">
      <w:pPr>
        <w:numPr>
          <w:ilvl w:val="0"/>
          <w:numId w:val="44"/>
        </w:numPr>
        <w:spacing w:line="240" w:lineRule="auto"/>
        <w:ind w:hanging="170"/>
        <w:rPr>
          <w:sz w:val="22"/>
          <w:szCs w:val="22"/>
        </w:rPr>
      </w:pPr>
      <w:r w:rsidRPr="006923A3">
        <w:rPr>
          <w:sz w:val="22"/>
          <w:szCs w:val="22"/>
        </w:rPr>
        <w:t xml:space="preserve">Digital Solutions </w:t>
      </w:r>
    </w:p>
    <w:p w:rsidR="006923A3" w:rsidRPr="006923A3" w:rsidRDefault="006923A3" w:rsidP="006923A3">
      <w:pPr>
        <w:spacing w:line="240" w:lineRule="auto"/>
        <w:ind w:left="103"/>
        <w:rPr>
          <w:sz w:val="22"/>
          <w:szCs w:val="22"/>
        </w:rPr>
      </w:pPr>
      <w:r w:rsidRPr="006923A3">
        <w:rPr>
          <w:b/>
          <w:color w:val="6D6F70"/>
          <w:sz w:val="22"/>
          <w:szCs w:val="22"/>
        </w:rPr>
        <w:t xml:space="preserve">Applied </w:t>
      </w:r>
    </w:p>
    <w:p w:rsidR="006923A3" w:rsidRPr="006923A3" w:rsidRDefault="006923A3" w:rsidP="006923A3">
      <w:pPr>
        <w:numPr>
          <w:ilvl w:val="0"/>
          <w:numId w:val="44"/>
        </w:numPr>
        <w:spacing w:line="240" w:lineRule="auto"/>
        <w:ind w:right="-125" w:hanging="170"/>
        <w:rPr>
          <w:sz w:val="22"/>
          <w:szCs w:val="22"/>
        </w:rPr>
      </w:pPr>
      <w:r w:rsidRPr="006923A3">
        <w:rPr>
          <w:sz w:val="22"/>
          <w:szCs w:val="22"/>
        </w:rPr>
        <w:t xml:space="preserve">Building &amp; Construction Skills </w:t>
      </w:r>
    </w:p>
    <w:p w:rsidR="006923A3" w:rsidRPr="006923A3" w:rsidRDefault="006923A3" w:rsidP="006923A3">
      <w:pPr>
        <w:numPr>
          <w:ilvl w:val="0"/>
          <w:numId w:val="44"/>
        </w:numPr>
        <w:spacing w:line="240" w:lineRule="auto"/>
        <w:ind w:hanging="170"/>
        <w:rPr>
          <w:sz w:val="22"/>
          <w:szCs w:val="22"/>
        </w:rPr>
      </w:pPr>
      <w:r w:rsidRPr="006923A3">
        <w:rPr>
          <w:sz w:val="22"/>
          <w:szCs w:val="22"/>
        </w:rPr>
        <w:t xml:space="preserve">Industrial Technology Skills </w:t>
      </w:r>
    </w:p>
    <w:p w:rsidR="006923A3" w:rsidRDefault="006923A3" w:rsidP="006923A3">
      <w:pPr>
        <w:numPr>
          <w:ilvl w:val="0"/>
          <w:numId w:val="44"/>
        </w:numPr>
        <w:spacing w:line="240" w:lineRule="auto"/>
        <w:ind w:hanging="170"/>
        <w:rPr>
          <w:sz w:val="22"/>
          <w:szCs w:val="22"/>
        </w:rPr>
      </w:pPr>
      <w:r w:rsidRPr="006923A3">
        <w:rPr>
          <w:sz w:val="22"/>
          <w:szCs w:val="22"/>
        </w:rPr>
        <w:t>Industrial Graphics</w:t>
      </w:r>
    </w:p>
    <w:p w:rsidR="006923A3" w:rsidRDefault="006923A3" w:rsidP="006923A3">
      <w:pPr>
        <w:spacing w:line="240" w:lineRule="auto"/>
        <w:ind w:left="263"/>
        <w:rPr>
          <w:sz w:val="22"/>
          <w:szCs w:val="22"/>
        </w:rPr>
      </w:pPr>
    </w:p>
    <w:p w:rsidR="003825A8" w:rsidRPr="006923A3" w:rsidRDefault="003825A8" w:rsidP="006923A3">
      <w:pPr>
        <w:spacing w:line="240" w:lineRule="auto"/>
        <w:ind w:left="263"/>
        <w:rPr>
          <w:sz w:val="22"/>
          <w:szCs w:val="22"/>
        </w:rPr>
      </w:pPr>
    </w:p>
    <w:p w:rsidR="006923A3" w:rsidRPr="006923A3" w:rsidRDefault="006923A3" w:rsidP="006923A3">
      <w:pPr>
        <w:pStyle w:val="Heading2"/>
        <w:spacing w:before="0" w:after="0" w:line="240" w:lineRule="auto"/>
        <w:ind w:left="-5"/>
        <w:rPr>
          <w:sz w:val="22"/>
          <w:szCs w:val="22"/>
        </w:rPr>
      </w:pPr>
      <w:bookmarkStart w:id="105" w:name="_Toc16163494"/>
      <w:bookmarkStart w:id="106" w:name="_Toc16206737"/>
      <w:r w:rsidRPr="006923A3">
        <w:rPr>
          <w:sz w:val="22"/>
          <w:szCs w:val="22"/>
        </w:rPr>
        <w:t>Health and Physical Education</w:t>
      </w:r>
      <w:bookmarkEnd w:id="105"/>
      <w:bookmarkEnd w:id="106"/>
      <w:r w:rsidRPr="006923A3">
        <w:rPr>
          <w:sz w:val="22"/>
          <w:szCs w:val="22"/>
        </w:rPr>
        <w:t xml:space="preserve"> </w:t>
      </w:r>
    </w:p>
    <w:p w:rsidR="006923A3" w:rsidRPr="006923A3" w:rsidRDefault="006923A3" w:rsidP="006923A3">
      <w:pPr>
        <w:spacing w:line="240" w:lineRule="auto"/>
        <w:rPr>
          <w:sz w:val="22"/>
          <w:szCs w:val="22"/>
        </w:rPr>
      </w:pPr>
      <w:r w:rsidRPr="006923A3">
        <w:rPr>
          <w:b/>
          <w:color w:val="6D6F70"/>
          <w:sz w:val="22"/>
          <w:szCs w:val="22"/>
        </w:rPr>
        <w:t xml:space="preserve">General </w:t>
      </w:r>
    </w:p>
    <w:p w:rsidR="006923A3" w:rsidRPr="006923A3" w:rsidRDefault="006923A3" w:rsidP="006923A3">
      <w:pPr>
        <w:numPr>
          <w:ilvl w:val="0"/>
          <w:numId w:val="45"/>
        </w:numPr>
        <w:spacing w:line="240" w:lineRule="auto"/>
        <w:ind w:hanging="170"/>
        <w:rPr>
          <w:sz w:val="22"/>
          <w:szCs w:val="22"/>
        </w:rPr>
      </w:pPr>
      <w:r w:rsidRPr="006923A3">
        <w:rPr>
          <w:sz w:val="22"/>
          <w:szCs w:val="22"/>
        </w:rPr>
        <w:t xml:space="preserve">Physical Education </w:t>
      </w:r>
    </w:p>
    <w:p w:rsidR="006923A3" w:rsidRPr="006923A3" w:rsidRDefault="006923A3" w:rsidP="006923A3">
      <w:pPr>
        <w:spacing w:line="240" w:lineRule="auto"/>
        <w:rPr>
          <w:sz w:val="22"/>
          <w:szCs w:val="22"/>
        </w:rPr>
      </w:pPr>
      <w:r w:rsidRPr="006923A3">
        <w:rPr>
          <w:b/>
          <w:color w:val="6D6F70"/>
          <w:sz w:val="22"/>
          <w:szCs w:val="22"/>
        </w:rPr>
        <w:t xml:space="preserve">Applied </w:t>
      </w:r>
    </w:p>
    <w:p w:rsidR="006923A3" w:rsidRPr="006923A3" w:rsidRDefault="006923A3" w:rsidP="006923A3">
      <w:pPr>
        <w:numPr>
          <w:ilvl w:val="0"/>
          <w:numId w:val="45"/>
        </w:numPr>
        <w:spacing w:line="240" w:lineRule="auto"/>
        <w:ind w:hanging="170"/>
        <w:rPr>
          <w:sz w:val="22"/>
          <w:szCs w:val="22"/>
        </w:rPr>
      </w:pPr>
      <w:r w:rsidRPr="006923A3">
        <w:rPr>
          <w:sz w:val="22"/>
          <w:szCs w:val="22"/>
        </w:rPr>
        <w:t xml:space="preserve">Early Childhood Studies </w:t>
      </w:r>
    </w:p>
    <w:p w:rsidR="006923A3" w:rsidRPr="006923A3" w:rsidRDefault="006923A3" w:rsidP="006923A3">
      <w:pPr>
        <w:numPr>
          <w:ilvl w:val="0"/>
          <w:numId w:val="45"/>
        </w:numPr>
        <w:spacing w:line="240" w:lineRule="auto"/>
        <w:ind w:hanging="170"/>
        <w:rPr>
          <w:sz w:val="22"/>
          <w:szCs w:val="22"/>
        </w:rPr>
      </w:pPr>
      <w:r w:rsidRPr="006923A3">
        <w:rPr>
          <w:sz w:val="22"/>
          <w:szCs w:val="22"/>
        </w:rPr>
        <w:t xml:space="preserve">Sport and Recreation </w:t>
      </w:r>
    </w:p>
    <w:p w:rsidR="006923A3" w:rsidRPr="006923A3" w:rsidRDefault="006923A3" w:rsidP="006923A3">
      <w:pPr>
        <w:spacing w:line="240" w:lineRule="auto"/>
        <w:ind w:left="170"/>
        <w:rPr>
          <w:sz w:val="22"/>
          <w:szCs w:val="22"/>
        </w:rPr>
      </w:pPr>
    </w:p>
    <w:p w:rsidR="006923A3" w:rsidRPr="006923A3" w:rsidRDefault="006923A3" w:rsidP="006923A3">
      <w:pPr>
        <w:pStyle w:val="Heading2"/>
        <w:spacing w:before="0" w:after="0" w:line="240" w:lineRule="auto"/>
        <w:ind w:left="-5"/>
        <w:rPr>
          <w:sz w:val="22"/>
          <w:szCs w:val="22"/>
        </w:rPr>
      </w:pPr>
      <w:bookmarkStart w:id="107" w:name="_Toc16163495"/>
      <w:bookmarkStart w:id="108" w:name="_Toc16206738"/>
      <w:r w:rsidRPr="006923A3">
        <w:rPr>
          <w:sz w:val="22"/>
          <w:szCs w:val="22"/>
        </w:rPr>
        <w:t>Science</w:t>
      </w:r>
      <w:bookmarkEnd w:id="107"/>
      <w:bookmarkEnd w:id="108"/>
      <w:r w:rsidRPr="006923A3">
        <w:rPr>
          <w:sz w:val="22"/>
          <w:szCs w:val="22"/>
        </w:rPr>
        <w:t xml:space="preserve"> </w:t>
      </w:r>
    </w:p>
    <w:p w:rsidR="006923A3" w:rsidRPr="006923A3" w:rsidRDefault="006923A3" w:rsidP="006923A3">
      <w:pPr>
        <w:spacing w:line="240" w:lineRule="auto"/>
        <w:rPr>
          <w:sz w:val="22"/>
          <w:szCs w:val="22"/>
        </w:rPr>
      </w:pPr>
      <w:r w:rsidRPr="006923A3">
        <w:rPr>
          <w:b/>
          <w:color w:val="6D6F70"/>
          <w:sz w:val="22"/>
          <w:szCs w:val="22"/>
        </w:rPr>
        <w:t xml:space="preserve">General </w:t>
      </w:r>
    </w:p>
    <w:p w:rsidR="006923A3" w:rsidRPr="006923A3" w:rsidRDefault="006923A3" w:rsidP="006923A3">
      <w:pPr>
        <w:numPr>
          <w:ilvl w:val="0"/>
          <w:numId w:val="46"/>
        </w:numPr>
        <w:spacing w:line="240" w:lineRule="auto"/>
        <w:ind w:hanging="170"/>
        <w:rPr>
          <w:sz w:val="22"/>
          <w:szCs w:val="22"/>
        </w:rPr>
      </w:pPr>
      <w:r w:rsidRPr="006923A3">
        <w:rPr>
          <w:sz w:val="22"/>
          <w:szCs w:val="22"/>
        </w:rPr>
        <w:t xml:space="preserve">Biology </w:t>
      </w:r>
    </w:p>
    <w:p w:rsidR="006923A3" w:rsidRPr="006923A3" w:rsidRDefault="006923A3" w:rsidP="006923A3">
      <w:pPr>
        <w:numPr>
          <w:ilvl w:val="0"/>
          <w:numId w:val="46"/>
        </w:numPr>
        <w:spacing w:line="240" w:lineRule="auto"/>
        <w:ind w:hanging="170"/>
        <w:rPr>
          <w:sz w:val="22"/>
          <w:szCs w:val="22"/>
        </w:rPr>
      </w:pPr>
      <w:r w:rsidRPr="006923A3">
        <w:rPr>
          <w:sz w:val="22"/>
          <w:szCs w:val="22"/>
        </w:rPr>
        <w:t xml:space="preserve">Chemistry </w:t>
      </w:r>
    </w:p>
    <w:p w:rsidR="006923A3" w:rsidRPr="006923A3" w:rsidRDefault="006923A3" w:rsidP="006923A3">
      <w:pPr>
        <w:numPr>
          <w:ilvl w:val="0"/>
          <w:numId w:val="46"/>
        </w:numPr>
        <w:spacing w:line="240" w:lineRule="auto"/>
        <w:ind w:hanging="170"/>
        <w:rPr>
          <w:sz w:val="22"/>
          <w:szCs w:val="22"/>
        </w:rPr>
      </w:pPr>
      <w:r w:rsidRPr="006923A3">
        <w:rPr>
          <w:sz w:val="22"/>
          <w:szCs w:val="22"/>
        </w:rPr>
        <w:t xml:space="preserve">Marine Science </w:t>
      </w:r>
    </w:p>
    <w:p w:rsidR="006923A3" w:rsidRPr="006923A3" w:rsidRDefault="006923A3" w:rsidP="006923A3">
      <w:pPr>
        <w:numPr>
          <w:ilvl w:val="0"/>
          <w:numId w:val="46"/>
        </w:numPr>
        <w:spacing w:line="240" w:lineRule="auto"/>
        <w:ind w:hanging="170"/>
        <w:rPr>
          <w:sz w:val="22"/>
          <w:szCs w:val="22"/>
        </w:rPr>
      </w:pPr>
      <w:r w:rsidRPr="006923A3">
        <w:rPr>
          <w:sz w:val="22"/>
          <w:szCs w:val="22"/>
        </w:rPr>
        <w:t xml:space="preserve">Physics </w:t>
      </w:r>
    </w:p>
    <w:p w:rsidR="006923A3" w:rsidRDefault="006923A3" w:rsidP="006923A3">
      <w:pPr>
        <w:numPr>
          <w:ilvl w:val="0"/>
          <w:numId w:val="46"/>
        </w:numPr>
        <w:spacing w:line="240" w:lineRule="auto"/>
        <w:ind w:hanging="170"/>
        <w:rPr>
          <w:sz w:val="22"/>
          <w:szCs w:val="22"/>
        </w:rPr>
      </w:pPr>
      <w:r w:rsidRPr="006923A3">
        <w:rPr>
          <w:sz w:val="22"/>
          <w:szCs w:val="22"/>
        </w:rPr>
        <w:t>Psychology</w:t>
      </w:r>
    </w:p>
    <w:p w:rsidR="006923A3" w:rsidRDefault="006923A3" w:rsidP="006923A3">
      <w:pPr>
        <w:spacing w:line="240" w:lineRule="auto"/>
        <w:rPr>
          <w:b/>
          <w:color w:val="6D6F70"/>
          <w:sz w:val="22"/>
          <w:szCs w:val="22"/>
        </w:rPr>
      </w:pPr>
      <w:r w:rsidRPr="006923A3">
        <w:rPr>
          <w:b/>
          <w:color w:val="6D6F70"/>
          <w:sz w:val="22"/>
          <w:szCs w:val="22"/>
        </w:rPr>
        <w:t>Applied</w:t>
      </w:r>
    </w:p>
    <w:p w:rsidR="006923A3" w:rsidRDefault="006923A3" w:rsidP="006923A3">
      <w:pPr>
        <w:numPr>
          <w:ilvl w:val="0"/>
          <w:numId w:val="46"/>
        </w:numPr>
        <w:spacing w:line="240" w:lineRule="auto"/>
        <w:ind w:hanging="170"/>
        <w:rPr>
          <w:sz w:val="22"/>
          <w:szCs w:val="22"/>
        </w:rPr>
      </w:pPr>
      <w:r>
        <w:rPr>
          <w:sz w:val="22"/>
          <w:szCs w:val="22"/>
        </w:rPr>
        <w:t>Aquatic Practices</w:t>
      </w:r>
    </w:p>
    <w:p w:rsidR="006923A3" w:rsidRPr="006923A3" w:rsidRDefault="006923A3" w:rsidP="006923A3">
      <w:pPr>
        <w:spacing w:line="240" w:lineRule="auto"/>
        <w:rPr>
          <w:b/>
          <w:color w:val="6D6F70"/>
          <w:sz w:val="22"/>
          <w:szCs w:val="22"/>
        </w:rPr>
      </w:pPr>
    </w:p>
    <w:p w:rsidR="006923A3" w:rsidRPr="006923A3" w:rsidRDefault="006923A3" w:rsidP="003825A8">
      <w:pPr>
        <w:spacing w:line="240" w:lineRule="auto"/>
        <w:rPr>
          <w:sz w:val="22"/>
          <w:szCs w:val="22"/>
        </w:rPr>
      </w:pPr>
      <w:r w:rsidRPr="006923A3">
        <w:rPr>
          <w:b/>
          <w:color w:val="6D6F70"/>
          <w:sz w:val="22"/>
          <w:szCs w:val="22"/>
        </w:rPr>
        <w:t xml:space="preserve"> </w:t>
      </w:r>
    </w:p>
    <w:p w:rsidR="006923A3" w:rsidRPr="006923A3" w:rsidRDefault="006923A3" w:rsidP="006923A3">
      <w:pPr>
        <w:pStyle w:val="Heading2"/>
        <w:spacing w:before="0" w:after="0" w:line="240" w:lineRule="auto"/>
        <w:ind w:left="-5"/>
        <w:rPr>
          <w:sz w:val="22"/>
          <w:szCs w:val="22"/>
        </w:rPr>
      </w:pPr>
      <w:bookmarkStart w:id="109" w:name="_Toc16163496"/>
      <w:bookmarkStart w:id="110" w:name="_Toc16206739"/>
      <w:r w:rsidRPr="006923A3">
        <w:rPr>
          <w:sz w:val="22"/>
          <w:szCs w:val="22"/>
        </w:rPr>
        <w:t>Languages</w:t>
      </w:r>
      <w:bookmarkEnd w:id="109"/>
      <w:bookmarkEnd w:id="110"/>
      <w:r w:rsidRPr="006923A3">
        <w:rPr>
          <w:sz w:val="22"/>
          <w:szCs w:val="22"/>
        </w:rPr>
        <w:t xml:space="preserve"> </w:t>
      </w:r>
    </w:p>
    <w:p w:rsidR="006923A3" w:rsidRPr="006923A3" w:rsidRDefault="006923A3" w:rsidP="006923A3">
      <w:pPr>
        <w:spacing w:line="240" w:lineRule="auto"/>
        <w:rPr>
          <w:sz w:val="22"/>
          <w:szCs w:val="22"/>
        </w:rPr>
      </w:pPr>
      <w:r w:rsidRPr="006923A3">
        <w:rPr>
          <w:b/>
          <w:color w:val="6D6F70"/>
          <w:sz w:val="22"/>
          <w:szCs w:val="22"/>
        </w:rPr>
        <w:t xml:space="preserve">General </w:t>
      </w:r>
    </w:p>
    <w:p w:rsidR="006923A3" w:rsidRPr="006923A3" w:rsidRDefault="006923A3" w:rsidP="006923A3">
      <w:pPr>
        <w:spacing w:line="240" w:lineRule="auto"/>
        <w:rPr>
          <w:sz w:val="22"/>
          <w:szCs w:val="22"/>
        </w:rPr>
      </w:pPr>
      <w:r w:rsidRPr="006923A3">
        <w:rPr>
          <w:rFonts w:ascii="Segoe UI Symbol" w:eastAsia="Segoe UI Symbol" w:hAnsi="Segoe UI Symbol" w:cs="Segoe UI Symbol"/>
          <w:sz w:val="22"/>
          <w:szCs w:val="22"/>
        </w:rPr>
        <w:t>•</w:t>
      </w:r>
      <w:r w:rsidRPr="006923A3">
        <w:rPr>
          <w:sz w:val="22"/>
          <w:szCs w:val="22"/>
        </w:rPr>
        <w:t xml:space="preserve"> Japanese </w:t>
      </w:r>
    </w:p>
    <w:p w:rsidR="006923A3" w:rsidRDefault="006923A3" w:rsidP="006923A3">
      <w:pPr>
        <w:spacing w:line="240" w:lineRule="auto"/>
        <w:ind w:left="170"/>
        <w:rPr>
          <w:sz w:val="22"/>
          <w:szCs w:val="22"/>
        </w:rPr>
      </w:pPr>
      <w:r w:rsidRPr="006923A3">
        <w:rPr>
          <w:sz w:val="22"/>
          <w:szCs w:val="22"/>
        </w:rPr>
        <w:t xml:space="preserve"> </w:t>
      </w:r>
    </w:p>
    <w:p w:rsidR="006923A3" w:rsidRPr="006923A3" w:rsidRDefault="006923A3" w:rsidP="006923A3">
      <w:pPr>
        <w:spacing w:line="240" w:lineRule="auto"/>
        <w:ind w:left="170"/>
        <w:rPr>
          <w:sz w:val="22"/>
          <w:szCs w:val="22"/>
        </w:rPr>
      </w:pPr>
    </w:p>
    <w:p w:rsidR="006923A3" w:rsidRPr="006923A3" w:rsidRDefault="006923A3" w:rsidP="006923A3">
      <w:pPr>
        <w:pStyle w:val="Heading2"/>
        <w:spacing w:before="0" w:after="0" w:line="240" w:lineRule="auto"/>
        <w:ind w:left="-5"/>
        <w:rPr>
          <w:sz w:val="22"/>
          <w:szCs w:val="22"/>
        </w:rPr>
      </w:pPr>
      <w:bookmarkStart w:id="111" w:name="_Toc16163497"/>
      <w:bookmarkStart w:id="112" w:name="_Toc16206740"/>
      <w:r w:rsidRPr="006923A3">
        <w:rPr>
          <w:sz w:val="22"/>
          <w:szCs w:val="22"/>
        </w:rPr>
        <w:t>The Arts</w:t>
      </w:r>
      <w:bookmarkEnd w:id="111"/>
      <w:bookmarkEnd w:id="112"/>
      <w:r w:rsidRPr="006923A3">
        <w:rPr>
          <w:sz w:val="22"/>
          <w:szCs w:val="22"/>
        </w:rPr>
        <w:t xml:space="preserve"> </w:t>
      </w:r>
    </w:p>
    <w:p w:rsidR="006923A3" w:rsidRPr="006923A3" w:rsidRDefault="006923A3" w:rsidP="006923A3">
      <w:pPr>
        <w:spacing w:line="240" w:lineRule="auto"/>
        <w:rPr>
          <w:sz w:val="22"/>
          <w:szCs w:val="22"/>
        </w:rPr>
      </w:pPr>
      <w:r w:rsidRPr="006923A3">
        <w:rPr>
          <w:b/>
          <w:color w:val="6D6F70"/>
          <w:sz w:val="22"/>
          <w:szCs w:val="22"/>
        </w:rPr>
        <w:t xml:space="preserve">General </w:t>
      </w:r>
    </w:p>
    <w:p w:rsidR="006923A3" w:rsidRPr="006923A3" w:rsidRDefault="006923A3" w:rsidP="006923A3">
      <w:pPr>
        <w:numPr>
          <w:ilvl w:val="0"/>
          <w:numId w:val="47"/>
        </w:numPr>
        <w:spacing w:line="240" w:lineRule="auto"/>
        <w:ind w:hanging="170"/>
        <w:rPr>
          <w:sz w:val="22"/>
          <w:szCs w:val="22"/>
        </w:rPr>
      </w:pPr>
      <w:r w:rsidRPr="006923A3">
        <w:rPr>
          <w:sz w:val="22"/>
          <w:szCs w:val="22"/>
        </w:rPr>
        <w:t xml:space="preserve">Dance </w:t>
      </w:r>
    </w:p>
    <w:p w:rsidR="006923A3" w:rsidRPr="006923A3" w:rsidRDefault="006923A3" w:rsidP="006923A3">
      <w:pPr>
        <w:numPr>
          <w:ilvl w:val="0"/>
          <w:numId w:val="47"/>
        </w:numPr>
        <w:spacing w:line="240" w:lineRule="auto"/>
        <w:ind w:hanging="170"/>
        <w:rPr>
          <w:sz w:val="22"/>
          <w:szCs w:val="22"/>
        </w:rPr>
      </w:pPr>
      <w:r w:rsidRPr="006923A3">
        <w:rPr>
          <w:sz w:val="22"/>
          <w:szCs w:val="22"/>
        </w:rPr>
        <w:t xml:space="preserve">Drama </w:t>
      </w:r>
    </w:p>
    <w:p w:rsidR="006923A3" w:rsidRPr="006923A3" w:rsidRDefault="006923A3" w:rsidP="006923A3">
      <w:pPr>
        <w:numPr>
          <w:ilvl w:val="0"/>
          <w:numId w:val="47"/>
        </w:numPr>
        <w:spacing w:line="240" w:lineRule="auto"/>
        <w:ind w:hanging="170"/>
        <w:rPr>
          <w:sz w:val="22"/>
          <w:szCs w:val="22"/>
        </w:rPr>
      </w:pPr>
      <w:r w:rsidRPr="006923A3">
        <w:rPr>
          <w:sz w:val="22"/>
          <w:szCs w:val="22"/>
        </w:rPr>
        <w:t xml:space="preserve">Film, Television &amp; New Media </w:t>
      </w:r>
    </w:p>
    <w:p w:rsidR="006923A3" w:rsidRPr="003825A8" w:rsidRDefault="006923A3" w:rsidP="003825A8">
      <w:pPr>
        <w:numPr>
          <w:ilvl w:val="0"/>
          <w:numId w:val="47"/>
        </w:numPr>
        <w:spacing w:line="240" w:lineRule="auto"/>
        <w:ind w:hanging="170"/>
        <w:rPr>
          <w:sz w:val="22"/>
          <w:szCs w:val="22"/>
        </w:rPr>
      </w:pPr>
      <w:r w:rsidRPr="006923A3">
        <w:rPr>
          <w:sz w:val="22"/>
          <w:szCs w:val="22"/>
        </w:rPr>
        <w:t xml:space="preserve">Visual Art </w:t>
      </w:r>
    </w:p>
    <w:p w:rsidR="006923A3" w:rsidRPr="006923A3" w:rsidRDefault="006923A3" w:rsidP="006923A3">
      <w:pPr>
        <w:spacing w:line="240" w:lineRule="auto"/>
        <w:rPr>
          <w:sz w:val="22"/>
          <w:szCs w:val="22"/>
        </w:rPr>
      </w:pPr>
      <w:r w:rsidRPr="006923A3">
        <w:rPr>
          <w:b/>
          <w:color w:val="6D6F70"/>
          <w:sz w:val="22"/>
          <w:szCs w:val="22"/>
        </w:rPr>
        <w:t xml:space="preserve">Applied </w:t>
      </w:r>
    </w:p>
    <w:p w:rsidR="006923A3" w:rsidRPr="006923A3" w:rsidRDefault="006923A3" w:rsidP="006923A3">
      <w:pPr>
        <w:numPr>
          <w:ilvl w:val="0"/>
          <w:numId w:val="47"/>
        </w:numPr>
        <w:spacing w:after="1" w:line="265" w:lineRule="auto"/>
        <w:ind w:hanging="170"/>
        <w:rPr>
          <w:sz w:val="22"/>
          <w:szCs w:val="22"/>
        </w:rPr>
      </w:pPr>
      <w:r w:rsidRPr="006923A3">
        <w:rPr>
          <w:sz w:val="22"/>
          <w:szCs w:val="22"/>
        </w:rPr>
        <w:t xml:space="preserve">Media Arts in Practice </w:t>
      </w:r>
    </w:p>
    <w:p w:rsidR="006923A3" w:rsidRPr="006923A3" w:rsidRDefault="006923A3" w:rsidP="006923A3">
      <w:pPr>
        <w:numPr>
          <w:ilvl w:val="0"/>
          <w:numId w:val="47"/>
        </w:numPr>
        <w:spacing w:after="23" w:line="265" w:lineRule="auto"/>
        <w:ind w:hanging="170"/>
        <w:rPr>
          <w:sz w:val="22"/>
          <w:szCs w:val="22"/>
        </w:rPr>
      </w:pPr>
      <w:r w:rsidRPr="006923A3">
        <w:rPr>
          <w:sz w:val="22"/>
          <w:szCs w:val="22"/>
        </w:rPr>
        <w:t xml:space="preserve">Visual Arts in Practice </w:t>
      </w:r>
    </w:p>
    <w:p w:rsidR="0057470A" w:rsidRPr="006923A3" w:rsidRDefault="0057470A" w:rsidP="00264B8F">
      <w:pPr>
        <w:pStyle w:val="BodyText"/>
        <w:spacing w:after="0"/>
        <w:rPr>
          <w:sz w:val="22"/>
          <w:szCs w:val="22"/>
        </w:rPr>
        <w:sectPr w:rsidR="0057470A" w:rsidRPr="006923A3" w:rsidSect="006923A3">
          <w:type w:val="continuous"/>
          <w:pgSz w:w="11907" w:h="16840" w:code="9"/>
          <w:pgMar w:top="1134" w:right="1418" w:bottom="1247" w:left="1418" w:header="567" w:footer="284" w:gutter="0"/>
          <w:cols w:num="2" w:space="720"/>
          <w:formProt w:val="0"/>
          <w:noEndnote/>
          <w:docGrid w:linePitch="299"/>
        </w:sectPr>
      </w:pPr>
    </w:p>
    <w:p w:rsidR="006923A3" w:rsidRDefault="006923A3" w:rsidP="00BE0C34">
      <w:pPr>
        <w:pStyle w:val="Tabletext"/>
        <w:sectPr w:rsidR="006923A3" w:rsidSect="00742A45">
          <w:headerReference w:type="default" r:id="rId24"/>
          <w:pgSz w:w="11907" w:h="16840" w:code="9"/>
          <w:pgMar w:top="1134" w:right="1418" w:bottom="1701" w:left="1418" w:header="567" w:footer="284" w:gutter="0"/>
          <w:cols w:space="720"/>
          <w:formProt w:val="0"/>
          <w:noEndnote/>
          <w:docGrid w:linePitch="299"/>
        </w:sectPr>
      </w:pPr>
    </w:p>
    <w:tbl>
      <w:tblPr>
        <w:tblStyle w:val="TextLayout"/>
        <w:tblW w:w="5650" w:type="pct"/>
        <w:tblInd w:w="-170" w:type="dxa"/>
        <w:tblLayout w:type="fixed"/>
        <w:tblLook w:val="04A0" w:firstRow="1" w:lastRow="0" w:firstColumn="1" w:lastColumn="0" w:noHBand="0" w:noVBand="1"/>
      </w:tblPr>
      <w:tblGrid>
        <w:gridCol w:w="141"/>
        <w:gridCol w:w="9264"/>
        <w:gridCol w:w="845"/>
      </w:tblGrid>
      <w:tr w:rsidR="00302679" w:rsidRPr="003B6F39" w:rsidTr="006923A3">
        <w:trPr>
          <w:trHeight w:hRule="exact" w:val="851"/>
        </w:trPr>
        <w:tc>
          <w:tcPr>
            <w:tcW w:w="141" w:type="dxa"/>
            <w:shd w:val="clear" w:color="auto" w:fill="F26A21"/>
          </w:tcPr>
          <w:p w:rsidR="00BB36BA" w:rsidRDefault="00BB36BA" w:rsidP="00BE0C34">
            <w:pPr>
              <w:pStyle w:val="Tabletext"/>
            </w:pPr>
          </w:p>
        </w:tc>
        <w:tc>
          <w:tcPr>
            <w:tcW w:w="9264" w:type="dxa"/>
            <w:tcMar>
              <w:left w:w="57" w:type="dxa"/>
            </w:tcMar>
            <w:vAlign w:val="center"/>
          </w:tcPr>
          <w:p w:rsidR="00302679" w:rsidRDefault="00302679" w:rsidP="00CD2D5C">
            <w:pPr>
              <w:pStyle w:val="SubjectHeading"/>
            </w:pPr>
            <w:r>
              <w:t>General Mathematics</w:t>
            </w:r>
          </w:p>
          <w:p w:rsidR="00302679" w:rsidRPr="00E86C01" w:rsidRDefault="00302679" w:rsidP="00BE0C34">
            <w:pPr>
              <w:pStyle w:val="Heading3"/>
              <w:spacing w:before="0" w:after="0"/>
            </w:pPr>
            <w:bookmarkStart w:id="113" w:name="_Toc16163498"/>
            <w:r>
              <w:t>General senior subject</w:t>
            </w:r>
            <w:bookmarkEnd w:id="113"/>
          </w:p>
        </w:tc>
        <w:tc>
          <w:tcPr>
            <w:tcW w:w="845" w:type="dxa"/>
            <w:shd w:val="clear" w:color="auto" w:fill="F26A21"/>
            <w:tcMar>
              <w:bottom w:w="28" w:type="dxa"/>
              <w:right w:w="57" w:type="dxa"/>
            </w:tcMar>
            <w:vAlign w:val="bottom"/>
          </w:tcPr>
          <w:p w:rsidR="00302679" w:rsidRPr="00E86C01" w:rsidRDefault="00302679" w:rsidP="00BE0C34">
            <w:pPr>
              <w:pStyle w:val="Heading3"/>
              <w:spacing w:before="0" w:after="100" w:afterAutospacing="1"/>
              <w:jc w:val="right"/>
              <w:rPr>
                <w:color w:val="FFFFFF" w:themeColor="background1"/>
                <w:sz w:val="17"/>
                <w:szCs w:val="17"/>
              </w:rPr>
            </w:pPr>
            <w:bookmarkStart w:id="114" w:name="_Toc16163499"/>
            <w:r w:rsidRPr="00E86C01">
              <w:rPr>
                <w:color w:val="FFFFFF" w:themeColor="background1"/>
                <w:sz w:val="17"/>
                <w:szCs w:val="17"/>
              </w:rPr>
              <w:t>General</w:t>
            </w:r>
            <w:bookmarkEnd w:id="114"/>
          </w:p>
        </w:tc>
      </w:tr>
      <w:tr w:rsidR="00302679" w:rsidRPr="003B6F39" w:rsidTr="006923A3">
        <w:trPr>
          <w:trHeight w:hRule="exact" w:val="113"/>
        </w:trPr>
        <w:tc>
          <w:tcPr>
            <w:tcW w:w="10250" w:type="dxa"/>
            <w:gridSpan w:val="3"/>
            <w:shd w:val="clear" w:color="auto" w:fill="auto"/>
          </w:tcPr>
          <w:p w:rsidR="00302679" w:rsidRPr="00E86C01" w:rsidRDefault="00302679" w:rsidP="00BE0C34">
            <w:pPr>
              <w:pStyle w:val="Smallspace"/>
            </w:pPr>
          </w:p>
        </w:tc>
      </w:tr>
    </w:tbl>
    <w:p w:rsidR="00B76239" w:rsidRDefault="00B76239" w:rsidP="00AF1161">
      <w:pPr>
        <w:pStyle w:val="BodyText"/>
        <w:spacing w:before="120"/>
        <w:rPr>
          <w:noProof/>
        </w:rPr>
        <w:sectPr w:rsidR="00B76239" w:rsidSect="006923A3">
          <w:type w:val="continuous"/>
          <w:pgSz w:w="11907" w:h="16840" w:code="9"/>
          <w:pgMar w:top="1134" w:right="1418" w:bottom="1701" w:left="1418" w:header="567" w:footer="284" w:gutter="0"/>
          <w:cols w:space="720"/>
          <w:formProt w:val="0"/>
          <w:noEndnote/>
          <w:docGrid w:linePitch="299"/>
        </w:sectPr>
      </w:pPr>
    </w:p>
    <w:p w:rsidR="000C1C9A" w:rsidRDefault="00EE4C5F" w:rsidP="00302679">
      <w:pPr>
        <w:pStyle w:val="BodyText"/>
        <w:spacing w:before="120"/>
        <w:rPr>
          <w:noProof/>
        </w:rPr>
      </w:pPr>
      <w:r>
        <w:rPr>
          <w:noProof/>
        </w:rPr>
        <w:fldChar w:fldCharType="begin"/>
      </w:r>
      <w:r>
        <w:rPr>
          <w:noProof/>
        </w:rPr>
        <w:instrText xml:space="preserve"> TC  </w:instrText>
      </w:r>
      <w:bookmarkStart w:id="115" w:name="_Toc495675597"/>
      <w:r>
        <w:rPr>
          <w:noProof/>
        </w:rPr>
        <w:instrText>Mathematics</w:instrText>
      </w:r>
      <w:bookmarkEnd w:id="115"/>
      <w:r>
        <w:rPr>
          <w:noProof/>
        </w:rPr>
        <w:instrText xml:space="preserve"> \l 2 </w:instrText>
      </w:r>
      <w:r>
        <w:rPr>
          <w:noProof/>
        </w:rPr>
        <w:fldChar w:fldCharType="end"/>
      </w:r>
      <w:r w:rsidR="000C1C9A" w:rsidRPr="000C1C9A">
        <w:rPr>
          <w:noProof/>
        </w:rPr>
        <w:t>General Mathematics</w:t>
      </w:r>
      <w:r w:rsidR="002009F0">
        <w:rPr>
          <w:noProof/>
        </w:rPr>
        <w:t xml:space="preserve">’ </w:t>
      </w:r>
      <w:r w:rsidR="000C1C9A">
        <w:rPr>
          <w:noProof/>
        </w:rPr>
        <w:t xml:space="preserve">major domains </w:t>
      </w:r>
      <w:r w:rsidR="00B42D4A">
        <w:rPr>
          <w:noProof/>
        </w:rPr>
        <w:t>are</w:t>
      </w:r>
      <w:r w:rsidR="000C1C9A">
        <w:rPr>
          <w:noProof/>
        </w:rPr>
        <w:t xml:space="preserve"> </w:t>
      </w:r>
      <w:r w:rsidR="000C1C9A" w:rsidRPr="000C1C9A">
        <w:rPr>
          <w:noProof/>
        </w:rPr>
        <w:t>Number and algebra, Measurement and geometry, Statistics</w:t>
      </w:r>
      <w:r w:rsidR="003A1B60">
        <w:rPr>
          <w:noProof/>
        </w:rPr>
        <w:t>,</w:t>
      </w:r>
      <w:r w:rsidR="000C1C9A" w:rsidRPr="000C1C9A">
        <w:rPr>
          <w:noProof/>
        </w:rPr>
        <w:t xml:space="preserve"> and Networks and matrices, building on the content of the P–10 Australian Curriculum. </w:t>
      </w:r>
    </w:p>
    <w:p w:rsidR="000C1C9A" w:rsidRDefault="000C1C9A" w:rsidP="000C1C9A">
      <w:pPr>
        <w:pStyle w:val="BodyText"/>
        <w:spacing w:before="120"/>
        <w:rPr>
          <w:noProof/>
        </w:rPr>
      </w:pPr>
      <w:r w:rsidRPr="000C1C9A">
        <w:rPr>
          <w:noProof/>
        </w:rPr>
        <w:t xml:space="preserve">General Mathematics is designed for students who want to extend their mathematical skills beyond Year 10 but whose future studies or employment pathways do not require calculus. </w:t>
      </w:r>
    </w:p>
    <w:p w:rsidR="000C1C9A" w:rsidRDefault="000C1C9A" w:rsidP="000C1C9A">
      <w:pPr>
        <w:pStyle w:val="BodyText"/>
        <w:spacing w:before="120"/>
      </w:pPr>
      <w:r>
        <w:rPr>
          <w:noProof/>
        </w:rPr>
        <w:t xml:space="preserve">Students build on and develop </w:t>
      </w:r>
      <w:r w:rsidRPr="000C1C9A">
        <w:rPr>
          <w:noProof/>
        </w:rPr>
        <w:t xml:space="preserve">key mathematical ideas, including rates and percentages, concepts from financial mathematics, linear and non-linear expressions, sequences, the use of matrices and networks to model and solve authentic problems, the use of trigonometry to find solutions to practical problems, and the exploration of real-world phenomena in statistics. </w:t>
      </w:r>
    </w:p>
    <w:p w:rsidR="000C1C9A" w:rsidRDefault="000C1C9A" w:rsidP="000C1C9A">
      <w:pPr>
        <w:pStyle w:val="BodyText"/>
        <w:spacing w:before="120"/>
        <w:rPr>
          <w:noProof/>
        </w:rPr>
      </w:pPr>
      <w:r>
        <w:rPr>
          <w:noProof/>
        </w:rPr>
        <w:t xml:space="preserve">Students engage in </w:t>
      </w:r>
      <w:r w:rsidRPr="000C1C9A">
        <w:rPr>
          <w:noProof/>
        </w:rPr>
        <w:t xml:space="preserve">a practical approach that equips learners for their needs as future citizens. </w:t>
      </w:r>
      <w:r>
        <w:rPr>
          <w:noProof/>
        </w:rPr>
        <w:t xml:space="preserve">They </w:t>
      </w:r>
      <w:r w:rsidRPr="000C1C9A">
        <w:rPr>
          <w:noProof/>
        </w:rPr>
        <w:t>learn to ask appropriate questions, map out pathways, reason about complex solutions, set up models and communic</w:t>
      </w:r>
      <w:r w:rsidR="00B64728">
        <w:rPr>
          <w:noProof/>
        </w:rPr>
        <w:t xml:space="preserve">ate in different forms. They </w:t>
      </w:r>
      <w:r w:rsidRPr="000C1C9A">
        <w:rPr>
          <w:noProof/>
        </w:rPr>
        <w:t xml:space="preserve">experience the relevance of mathematics to their daily lives, communities and cultural backgrounds. They develop the ability to understand, analyse and take action regarding social issues in their world. </w:t>
      </w:r>
    </w:p>
    <w:p w:rsidR="00AF1161" w:rsidRDefault="00AF1161" w:rsidP="00BC3CF5">
      <w:pPr>
        <w:pStyle w:val="Heading3"/>
        <w:spacing w:before="120"/>
      </w:pPr>
      <w:bookmarkStart w:id="116" w:name="_Toc16163500"/>
      <w:r>
        <w:t>Pathways</w:t>
      </w:r>
      <w:bookmarkEnd w:id="116"/>
    </w:p>
    <w:p w:rsidR="00AF1161" w:rsidRDefault="000C1C9A" w:rsidP="000C1C9A">
      <w:pPr>
        <w:pStyle w:val="BodyText"/>
        <w:spacing w:before="120"/>
        <w:rPr>
          <w:noProof/>
        </w:rPr>
      </w:pPr>
      <w:r w:rsidRPr="000C1C9A">
        <w:rPr>
          <w:noProof/>
        </w:rPr>
        <w:t xml:space="preserve">A course of study in General Mathematics can establish a basis for further education and employment in the fields of business, commerce, education, finance, IT, social science and the arts. </w:t>
      </w:r>
    </w:p>
    <w:p w:rsidR="00AF1161" w:rsidRDefault="00AF1161" w:rsidP="00AF1161">
      <w:pPr>
        <w:pStyle w:val="Heading3"/>
      </w:pPr>
      <w:bookmarkStart w:id="117" w:name="_Toc16163501"/>
      <w:r>
        <w:t>Objectives</w:t>
      </w:r>
      <w:bookmarkEnd w:id="117"/>
    </w:p>
    <w:p w:rsidR="004E1316" w:rsidRDefault="004E1316" w:rsidP="004E1316">
      <w:pPr>
        <w:pStyle w:val="BodyText"/>
        <w:spacing w:before="120"/>
        <w:rPr>
          <w:noProof/>
        </w:rPr>
      </w:pPr>
      <w:r>
        <w:t>By the conclusion of the course of study, students will:</w:t>
      </w:r>
    </w:p>
    <w:p w:rsidR="004E1316" w:rsidRDefault="004E1316" w:rsidP="008C3C06">
      <w:pPr>
        <w:pStyle w:val="ListBullet0"/>
        <w:rPr>
          <w:noProof/>
        </w:rPr>
      </w:pPr>
      <w:r>
        <w:rPr>
          <w:noProof/>
        </w:rPr>
        <w:t>select, recall and use facts, rules, definitions and procedures drawn from Number and algebra, Measurement and geometry, Statistics</w:t>
      </w:r>
      <w:r w:rsidR="00622376">
        <w:rPr>
          <w:noProof/>
        </w:rPr>
        <w:t>,</w:t>
      </w:r>
      <w:r>
        <w:rPr>
          <w:noProof/>
        </w:rPr>
        <w:t xml:space="preserve"> and Networks and matrices</w:t>
      </w:r>
    </w:p>
    <w:p w:rsidR="004E1316" w:rsidRDefault="004E1316" w:rsidP="008C3C06">
      <w:pPr>
        <w:pStyle w:val="ListBullet0"/>
        <w:rPr>
          <w:noProof/>
        </w:rPr>
      </w:pPr>
      <w:r>
        <w:rPr>
          <w:noProof/>
        </w:rPr>
        <w:t>comprehend mathematical concepts and techniques drawn from Number and algebra, Measurement and geometry, Statistics</w:t>
      </w:r>
      <w:r w:rsidR="003A1B60">
        <w:rPr>
          <w:noProof/>
        </w:rPr>
        <w:t>,</w:t>
      </w:r>
      <w:r>
        <w:rPr>
          <w:noProof/>
        </w:rPr>
        <w:t xml:space="preserve"> and Networks and matrices</w:t>
      </w:r>
    </w:p>
    <w:p w:rsidR="004E1316" w:rsidRDefault="004E1316" w:rsidP="008C3C06">
      <w:pPr>
        <w:pStyle w:val="ListBullet0"/>
        <w:rPr>
          <w:noProof/>
        </w:rPr>
      </w:pPr>
      <w:r>
        <w:rPr>
          <w:noProof/>
        </w:rPr>
        <w:t>communicate using mathematical, statistical and everyday language and conventions</w:t>
      </w:r>
    </w:p>
    <w:p w:rsidR="004E1316" w:rsidRDefault="004E1316" w:rsidP="008C3C06">
      <w:pPr>
        <w:pStyle w:val="ListBullet0"/>
        <w:rPr>
          <w:noProof/>
        </w:rPr>
      </w:pPr>
      <w:r>
        <w:rPr>
          <w:noProof/>
        </w:rPr>
        <w:t>evaluate the reasonableness of solutions</w:t>
      </w:r>
    </w:p>
    <w:p w:rsidR="004E1316" w:rsidRDefault="004E1316" w:rsidP="008C3C06">
      <w:pPr>
        <w:pStyle w:val="ListBullet0"/>
        <w:rPr>
          <w:noProof/>
        </w:rPr>
      </w:pPr>
      <w:r>
        <w:rPr>
          <w:noProof/>
        </w:rPr>
        <w:t>justify procedures and decisions by explaining mathematical reasoning</w:t>
      </w:r>
    </w:p>
    <w:p w:rsidR="004E1316" w:rsidDel="004E1316" w:rsidRDefault="004E1316">
      <w:pPr>
        <w:pStyle w:val="ListBullet0"/>
        <w:rPr>
          <w:noProof/>
        </w:rPr>
      </w:pPr>
      <w:r>
        <w:rPr>
          <w:noProof/>
        </w:rPr>
        <w:t>solve problems by applying mathematical concepts and techniques drawn from Number and algebra, Measurement and geometry, Statistics</w:t>
      </w:r>
      <w:r w:rsidR="00622376">
        <w:rPr>
          <w:noProof/>
        </w:rPr>
        <w:t>,</w:t>
      </w:r>
      <w:r>
        <w:rPr>
          <w:noProof/>
        </w:rPr>
        <w:t xml:space="preserve"> </w:t>
      </w:r>
      <w:r w:rsidRPr="004E1316">
        <w:t>and Networks and matrices</w:t>
      </w:r>
      <w:r w:rsidR="00DF2FC3">
        <w:t>.</w:t>
      </w:r>
    </w:p>
    <w:p w:rsidR="00B76239" w:rsidRDefault="00B76239" w:rsidP="008C3C06">
      <w:pPr>
        <w:pStyle w:val="ListBullet0"/>
        <w:rPr>
          <w:b/>
        </w:rPr>
        <w:sectPr w:rsidR="00B76239" w:rsidSect="005F3A96">
          <w:type w:val="continuous"/>
          <w:pgSz w:w="11907" w:h="16840" w:code="9"/>
          <w:pgMar w:top="1134" w:right="1418" w:bottom="1701" w:left="1418" w:header="567" w:footer="284" w:gutter="0"/>
          <w:cols w:num="2" w:space="720"/>
          <w:formProt w:val="0"/>
          <w:noEndnote/>
          <w:docGrid w:linePitch="299"/>
        </w:sectPr>
      </w:pPr>
    </w:p>
    <w:p w:rsidR="00622376" w:rsidRPr="00EB1A63" w:rsidRDefault="00622376" w:rsidP="00EB1A63">
      <w:r w:rsidRPr="00EB1A63">
        <w:br w:type="page"/>
      </w:r>
    </w:p>
    <w:p w:rsidR="00AF1161" w:rsidRDefault="00AF1161" w:rsidP="00AF1161">
      <w:pPr>
        <w:pStyle w:val="Heading3"/>
      </w:pPr>
      <w:bookmarkStart w:id="118" w:name="_Toc16163502"/>
      <w:r>
        <w:t>Structure</w:t>
      </w:r>
      <w:bookmarkEnd w:id="118"/>
    </w:p>
    <w:tbl>
      <w:tblPr>
        <w:tblStyle w:val="QCAAtablestyle1"/>
        <w:tblW w:w="4900" w:type="pct"/>
        <w:tblLook w:val="04A0" w:firstRow="1" w:lastRow="0" w:firstColumn="1" w:lastColumn="0" w:noHBand="0" w:noVBand="1"/>
      </w:tblPr>
      <w:tblGrid>
        <w:gridCol w:w="2227"/>
        <w:gridCol w:w="2220"/>
        <w:gridCol w:w="2211"/>
        <w:gridCol w:w="2222"/>
      </w:tblGrid>
      <w:tr w:rsidR="00AF1161" w:rsidTr="00814E36">
        <w:trPr>
          <w:cnfStyle w:val="100000000000" w:firstRow="1" w:lastRow="0" w:firstColumn="0" w:lastColumn="0" w:oddVBand="0" w:evenVBand="0" w:oddHBand="0" w:evenHBand="0" w:firstRowFirstColumn="0" w:firstRowLastColumn="0" w:lastRowFirstColumn="0" w:lastRowLastColumn="0"/>
        </w:trPr>
        <w:tc>
          <w:tcPr>
            <w:tcW w:w="2227" w:type="dxa"/>
          </w:tcPr>
          <w:p w:rsidR="00AF1161" w:rsidRDefault="00AF1161" w:rsidP="006A4F57">
            <w:pPr>
              <w:pStyle w:val="TableHeading0"/>
            </w:pPr>
            <w:r>
              <w:t>Unit 1</w:t>
            </w:r>
          </w:p>
        </w:tc>
        <w:tc>
          <w:tcPr>
            <w:tcW w:w="2220" w:type="dxa"/>
          </w:tcPr>
          <w:p w:rsidR="00AF1161" w:rsidRDefault="00AF1161" w:rsidP="006A4F57">
            <w:pPr>
              <w:pStyle w:val="TableHeading0"/>
            </w:pPr>
            <w:r>
              <w:t>Unit 2</w:t>
            </w:r>
          </w:p>
        </w:tc>
        <w:tc>
          <w:tcPr>
            <w:tcW w:w="2211" w:type="dxa"/>
          </w:tcPr>
          <w:p w:rsidR="00AF1161" w:rsidRDefault="00AF1161" w:rsidP="006A4F57">
            <w:pPr>
              <w:pStyle w:val="TableHeading0"/>
            </w:pPr>
            <w:r>
              <w:t>Unit 3</w:t>
            </w:r>
          </w:p>
        </w:tc>
        <w:tc>
          <w:tcPr>
            <w:tcW w:w="2222" w:type="dxa"/>
          </w:tcPr>
          <w:p w:rsidR="00AF1161" w:rsidRDefault="00AF1161" w:rsidP="006A4F57">
            <w:pPr>
              <w:pStyle w:val="TableHeading0"/>
            </w:pPr>
            <w:r>
              <w:t>Unit 4</w:t>
            </w:r>
          </w:p>
        </w:tc>
      </w:tr>
      <w:tr w:rsidR="00AF1161" w:rsidTr="00814E36">
        <w:tc>
          <w:tcPr>
            <w:tcW w:w="2227" w:type="dxa"/>
          </w:tcPr>
          <w:p w:rsidR="00814E36" w:rsidRPr="00814E36" w:rsidRDefault="00814E36" w:rsidP="00814E36">
            <w:pPr>
              <w:pStyle w:val="Tabletext"/>
              <w:rPr>
                <w:b/>
              </w:rPr>
            </w:pPr>
            <w:r w:rsidRPr="00814E36">
              <w:rPr>
                <w:b/>
              </w:rPr>
              <w:t xml:space="preserve">Money, measurement and relations </w:t>
            </w:r>
          </w:p>
          <w:p w:rsidR="00814E36" w:rsidRDefault="00814E36" w:rsidP="00814E36">
            <w:pPr>
              <w:pStyle w:val="TableBullet"/>
            </w:pPr>
            <w:r>
              <w:t xml:space="preserve">Consumer arithmetic </w:t>
            </w:r>
          </w:p>
          <w:p w:rsidR="00814E36" w:rsidRDefault="00814E36" w:rsidP="00814E36">
            <w:pPr>
              <w:pStyle w:val="TableBullet"/>
            </w:pPr>
            <w:r>
              <w:t xml:space="preserve">Shape and measurement </w:t>
            </w:r>
          </w:p>
          <w:p w:rsidR="00AF1161" w:rsidRDefault="00814E36" w:rsidP="00814E36">
            <w:pPr>
              <w:pStyle w:val="TableBullet"/>
            </w:pPr>
            <w:r>
              <w:t xml:space="preserve">Linear equations and their graphs </w:t>
            </w:r>
          </w:p>
        </w:tc>
        <w:tc>
          <w:tcPr>
            <w:tcW w:w="2220" w:type="dxa"/>
          </w:tcPr>
          <w:p w:rsidR="00814E36" w:rsidRPr="00814E36" w:rsidRDefault="00814E36" w:rsidP="00814E36">
            <w:pPr>
              <w:pStyle w:val="Tabletext"/>
              <w:rPr>
                <w:b/>
              </w:rPr>
            </w:pPr>
            <w:r w:rsidRPr="00814E36">
              <w:rPr>
                <w:b/>
              </w:rPr>
              <w:t>Applied trigonometry, algebra, matrices and univariate data</w:t>
            </w:r>
          </w:p>
          <w:p w:rsidR="00814E36" w:rsidRDefault="00814E36" w:rsidP="00814E36">
            <w:pPr>
              <w:pStyle w:val="TableBullet"/>
            </w:pPr>
            <w:r>
              <w:t>Applications of trigonometry</w:t>
            </w:r>
          </w:p>
          <w:p w:rsidR="00814E36" w:rsidRDefault="00814E36" w:rsidP="00814E36">
            <w:pPr>
              <w:pStyle w:val="TableBullet"/>
            </w:pPr>
            <w:r>
              <w:t>Algebra and matrices</w:t>
            </w:r>
          </w:p>
          <w:p w:rsidR="00AF1161" w:rsidRDefault="00814E36" w:rsidP="00814E36">
            <w:pPr>
              <w:pStyle w:val="TableBullet"/>
            </w:pPr>
            <w:r>
              <w:t>Univariate data analysis</w:t>
            </w:r>
          </w:p>
        </w:tc>
        <w:tc>
          <w:tcPr>
            <w:tcW w:w="2211" w:type="dxa"/>
            <w:shd w:val="clear" w:color="auto" w:fill="auto"/>
          </w:tcPr>
          <w:p w:rsidR="00814E36" w:rsidRPr="00814E36" w:rsidRDefault="00814E36" w:rsidP="00814E36">
            <w:pPr>
              <w:pStyle w:val="Tabletext"/>
              <w:rPr>
                <w:b/>
              </w:rPr>
            </w:pPr>
            <w:r w:rsidRPr="00814E36">
              <w:rPr>
                <w:b/>
              </w:rPr>
              <w:t>Bivariate data, sequences and change, and Earth geometry</w:t>
            </w:r>
          </w:p>
          <w:p w:rsidR="00814E36" w:rsidRDefault="00814E36" w:rsidP="00814E36">
            <w:pPr>
              <w:pStyle w:val="TableBullet"/>
            </w:pPr>
            <w:r>
              <w:t>Bivariate data analysis</w:t>
            </w:r>
          </w:p>
          <w:p w:rsidR="00814E36" w:rsidRDefault="00814E36" w:rsidP="00814E36">
            <w:pPr>
              <w:pStyle w:val="TableBullet"/>
            </w:pPr>
            <w:r>
              <w:t>Time series analysis</w:t>
            </w:r>
          </w:p>
          <w:p w:rsidR="00814E36" w:rsidRDefault="00814E36" w:rsidP="00814E36">
            <w:pPr>
              <w:pStyle w:val="TableBullet"/>
            </w:pPr>
            <w:r>
              <w:t>Growth and decay in sequences</w:t>
            </w:r>
          </w:p>
          <w:p w:rsidR="00AF1161" w:rsidRDefault="00814E36" w:rsidP="00814E36">
            <w:pPr>
              <w:pStyle w:val="TableBullet"/>
            </w:pPr>
            <w:r>
              <w:t>Earth geometry and time zones</w:t>
            </w:r>
          </w:p>
        </w:tc>
        <w:tc>
          <w:tcPr>
            <w:tcW w:w="2222" w:type="dxa"/>
            <w:shd w:val="clear" w:color="auto" w:fill="auto"/>
          </w:tcPr>
          <w:p w:rsidR="00814E36" w:rsidRPr="00814E36" w:rsidRDefault="00814E36" w:rsidP="00814E36">
            <w:pPr>
              <w:pStyle w:val="Tabletext"/>
              <w:rPr>
                <w:b/>
              </w:rPr>
            </w:pPr>
            <w:r w:rsidRPr="00814E36">
              <w:rPr>
                <w:b/>
              </w:rPr>
              <w:t>Investing and networking</w:t>
            </w:r>
          </w:p>
          <w:p w:rsidR="00814E36" w:rsidRPr="00814E36" w:rsidRDefault="00814E36" w:rsidP="00814E36">
            <w:pPr>
              <w:pStyle w:val="TableBullet"/>
            </w:pPr>
            <w:r w:rsidRPr="00814E36">
              <w:t>Loans, investments and annuities</w:t>
            </w:r>
          </w:p>
          <w:p w:rsidR="00814E36" w:rsidRPr="00814E36" w:rsidRDefault="00814E36" w:rsidP="00814E36">
            <w:pPr>
              <w:pStyle w:val="TableBullet"/>
            </w:pPr>
            <w:r w:rsidRPr="00814E36">
              <w:t>Graphs and networks</w:t>
            </w:r>
          </w:p>
          <w:p w:rsidR="00AF1161" w:rsidRDefault="00814E36" w:rsidP="00814E36">
            <w:pPr>
              <w:pStyle w:val="TableBullet"/>
            </w:pPr>
            <w:r w:rsidRPr="00814E36">
              <w:t>Networks and decision mathematics</w:t>
            </w:r>
          </w:p>
        </w:tc>
      </w:tr>
    </w:tbl>
    <w:p w:rsidR="00814E36" w:rsidRDefault="00814E36" w:rsidP="00814E36">
      <w:pPr>
        <w:pStyle w:val="Heading3"/>
      </w:pPr>
      <w:bookmarkStart w:id="119" w:name="_Toc16163503"/>
      <w:bookmarkStart w:id="120" w:name="_Hlk492983607"/>
      <w:r>
        <w:t>Assessment</w:t>
      </w:r>
      <w:bookmarkEnd w:id="119"/>
    </w:p>
    <w:p w:rsidR="0056184B" w:rsidRDefault="0056184B" w:rsidP="008C3C06">
      <w:pPr>
        <w:pStyle w:val="BodyText"/>
      </w:pPr>
      <w:bookmarkStart w:id="121" w:name="_Hlk495325801"/>
      <w:r>
        <w:t>S</w:t>
      </w:r>
      <w:r w:rsidRPr="008C3C06">
        <w:t>chools devise assessment</w:t>
      </w:r>
      <w:r>
        <w:t>s</w:t>
      </w:r>
      <w:r w:rsidRPr="008C3C06">
        <w:t xml:space="preserve"> </w:t>
      </w:r>
      <w:r w:rsidR="00815AF0">
        <w:t>i</w:t>
      </w:r>
      <w:r w:rsidRPr="008C3C06">
        <w:t>n Units 1 and 2 to suit their local context.</w:t>
      </w:r>
      <w:r>
        <w:t xml:space="preserve"> </w:t>
      </w:r>
    </w:p>
    <w:p w:rsidR="00757862" w:rsidRDefault="0056184B" w:rsidP="008C3C06">
      <w:pPr>
        <w:pStyle w:val="BodyText"/>
      </w:pPr>
      <w:r>
        <w:t>I</w:t>
      </w:r>
      <w:r w:rsidR="00964BF6" w:rsidRPr="008C3C06">
        <w:t xml:space="preserve">n </w:t>
      </w:r>
      <w:r w:rsidR="00814E36" w:rsidRPr="008C3C06">
        <w:t>Units 3 and 4</w:t>
      </w:r>
      <w:r w:rsidR="00964BF6" w:rsidRPr="008C3C06">
        <w:t xml:space="preserve"> </w:t>
      </w:r>
      <w:r>
        <w:t>s</w:t>
      </w:r>
      <w:r w:rsidRPr="008C3C06">
        <w:t>tudents complete four summative assessments</w:t>
      </w:r>
      <w:r>
        <w:t>.</w:t>
      </w:r>
      <w:r w:rsidR="00894004">
        <w:t xml:space="preserve"> The results from each of the assessments are added together to provi</w:t>
      </w:r>
      <w:r w:rsidR="008C2D83">
        <w:t xml:space="preserve">de a subject score out of 100. </w:t>
      </w:r>
      <w:r w:rsidR="00894004">
        <w:t>Students will also receive an overall subject result (A</w:t>
      </w:r>
      <w:r w:rsidR="00622376">
        <w:t>–</w:t>
      </w:r>
      <w:r w:rsidR="00894004">
        <w:t>E).</w:t>
      </w:r>
    </w:p>
    <w:bookmarkEnd w:id="121"/>
    <w:p w:rsidR="00814E36" w:rsidRPr="008C3C06" w:rsidRDefault="0056184B" w:rsidP="00CC0299">
      <w:pPr>
        <w:pStyle w:val="Caption"/>
      </w:pPr>
      <w:r>
        <w:t>Summative assessments</w:t>
      </w:r>
    </w:p>
    <w:tbl>
      <w:tblPr>
        <w:tblStyle w:val="QCAAtablestyle1"/>
        <w:tblW w:w="4900" w:type="pct"/>
        <w:tblLayout w:type="fixed"/>
        <w:tblLook w:val="04A0" w:firstRow="1" w:lastRow="0" w:firstColumn="1" w:lastColumn="0" w:noHBand="0" w:noVBand="1"/>
      </w:tblPr>
      <w:tblGrid>
        <w:gridCol w:w="3743"/>
        <w:gridCol w:w="697"/>
        <w:gridCol w:w="3743"/>
        <w:gridCol w:w="697"/>
      </w:tblGrid>
      <w:tr w:rsidR="00964BF6" w:rsidTr="00D01487">
        <w:trPr>
          <w:cnfStyle w:val="100000000000" w:firstRow="1" w:lastRow="0" w:firstColumn="0" w:lastColumn="0" w:oddVBand="0" w:evenVBand="0" w:oddHBand="0" w:evenHBand="0" w:firstRowFirstColumn="0" w:firstRowLastColumn="0" w:lastRowFirstColumn="0" w:lastRowLastColumn="0"/>
        </w:trPr>
        <w:tc>
          <w:tcPr>
            <w:tcW w:w="4536" w:type="dxa"/>
            <w:gridSpan w:val="2"/>
          </w:tcPr>
          <w:p w:rsidR="00964BF6" w:rsidRDefault="00964BF6" w:rsidP="006B7BA8">
            <w:pPr>
              <w:pStyle w:val="Tableheading"/>
            </w:pPr>
            <w:r>
              <w:t>Unit 3</w:t>
            </w:r>
          </w:p>
        </w:tc>
        <w:tc>
          <w:tcPr>
            <w:tcW w:w="4536" w:type="dxa"/>
            <w:gridSpan w:val="2"/>
          </w:tcPr>
          <w:p w:rsidR="00964BF6" w:rsidRDefault="00964BF6" w:rsidP="006B7BA8">
            <w:pPr>
              <w:pStyle w:val="Tableheading"/>
            </w:pPr>
            <w:r>
              <w:t>Unit 4</w:t>
            </w:r>
          </w:p>
        </w:tc>
      </w:tr>
      <w:tr w:rsidR="00964BF6" w:rsidTr="00D01487">
        <w:tc>
          <w:tcPr>
            <w:tcW w:w="3828" w:type="dxa"/>
          </w:tcPr>
          <w:p w:rsidR="00964BF6" w:rsidRDefault="00964BF6" w:rsidP="006B7BA8">
            <w:pPr>
              <w:pStyle w:val="Tabletext"/>
            </w:pPr>
            <w:r>
              <w:t xml:space="preserve">Summative internal assessment 1 (IA1): </w:t>
            </w:r>
          </w:p>
          <w:p w:rsidR="00964BF6" w:rsidRDefault="00964BF6" w:rsidP="006B7BA8">
            <w:pPr>
              <w:pStyle w:val="TableBullet"/>
            </w:pPr>
            <w:r>
              <w:t>Problem-solving and modelling task</w:t>
            </w:r>
          </w:p>
        </w:tc>
        <w:tc>
          <w:tcPr>
            <w:tcW w:w="0" w:type="dxa"/>
          </w:tcPr>
          <w:p w:rsidR="00964BF6" w:rsidRDefault="00964BF6" w:rsidP="006B7BA8">
            <w:pPr>
              <w:pStyle w:val="Tabletext"/>
            </w:pPr>
            <w:r>
              <w:t>20%</w:t>
            </w:r>
          </w:p>
        </w:tc>
        <w:tc>
          <w:tcPr>
            <w:tcW w:w="3828" w:type="dxa"/>
            <w:vMerge w:val="restart"/>
          </w:tcPr>
          <w:p w:rsidR="00964BF6" w:rsidRDefault="00964BF6" w:rsidP="006B7BA8">
            <w:pPr>
              <w:pStyle w:val="Tabletext"/>
            </w:pPr>
            <w:r>
              <w:t xml:space="preserve">Summative internal assessment 3 (IA3): </w:t>
            </w:r>
          </w:p>
          <w:p w:rsidR="00964BF6" w:rsidRDefault="00964BF6" w:rsidP="006B7BA8">
            <w:pPr>
              <w:pStyle w:val="TableBullet"/>
            </w:pPr>
            <w:r>
              <w:t>Examination</w:t>
            </w:r>
          </w:p>
        </w:tc>
        <w:tc>
          <w:tcPr>
            <w:tcW w:w="708" w:type="dxa"/>
            <w:vMerge w:val="restart"/>
          </w:tcPr>
          <w:p w:rsidR="00964BF6" w:rsidRDefault="00964BF6" w:rsidP="006B7BA8">
            <w:pPr>
              <w:pStyle w:val="Tabletext"/>
            </w:pPr>
            <w:r>
              <w:t>15%</w:t>
            </w:r>
          </w:p>
        </w:tc>
      </w:tr>
      <w:tr w:rsidR="00964BF6" w:rsidTr="00D01487">
        <w:tc>
          <w:tcPr>
            <w:tcW w:w="3828" w:type="dxa"/>
          </w:tcPr>
          <w:p w:rsidR="00964BF6" w:rsidRDefault="00964BF6" w:rsidP="006B7BA8">
            <w:pPr>
              <w:pStyle w:val="Tabletext"/>
            </w:pPr>
            <w:r>
              <w:t>Summativ</w:t>
            </w:r>
            <w:r w:rsidR="008C2D83">
              <w:t xml:space="preserve">e internal assessment 2 (IA2): </w:t>
            </w:r>
          </w:p>
          <w:p w:rsidR="00964BF6" w:rsidRDefault="00964BF6" w:rsidP="006B7BA8">
            <w:pPr>
              <w:pStyle w:val="TableBullet"/>
            </w:pPr>
            <w:r>
              <w:t>Examination</w:t>
            </w:r>
          </w:p>
        </w:tc>
        <w:tc>
          <w:tcPr>
            <w:tcW w:w="0" w:type="dxa"/>
          </w:tcPr>
          <w:p w:rsidR="00964BF6" w:rsidRDefault="00964BF6" w:rsidP="006B7BA8">
            <w:pPr>
              <w:pStyle w:val="Tabletext"/>
            </w:pPr>
            <w:r>
              <w:t>15%</w:t>
            </w:r>
          </w:p>
        </w:tc>
        <w:tc>
          <w:tcPr>
            <w:tcW w:w="3828" w:type="dxa"/>
            <w:vMerge/>
          </w:tcPr>
          <w:p w:rsidR="00964BF6" w:rsidRDefault="00964BF6" w:rsidP="002009F0">
            <w:pPr>
              <w:pStyle w:val="TableBullet"/>
              <w:numPr>
                <w:ilvl w:val="0"/>
                <w:numId w:val="0"/>
              </w:numPr>
              <w:ind w:left="170"/>
            </w:pPr>
          </w:p>
        </w:tc>
        <w:tc>
          <w:tcPr>
            <w:tcW w:w="708" w:type="dxa"/>
            <w:vMerge/>
          </w:tcPr>
          <w:p w:rsidR="00964BF6" w:rsidRDefault="00964BF6" w:rsidP="006B7BA8">
            <w:pPr>
              <w:pStyle w:val="Tabletext"/>
            </w:pPr>
          </w:p>
        </w:tc>
      </w:tr>
      <w:tr w:rsidR="00EB76BB" w:rsidTr="00D01487">
        <w:tc>
          <w:tcPr>
            <w:tcW w:w="9072" w:type="dxa"/>
            <w:gridSpan w:val="4"/>
          </w:tcPr>
          <w:p w:rsidR="00EB76BB" w:rsidRDefault="00EB76BB" w:rsidP="00622376">
            <w:pPr>
              <w:pStyle w:val="Tabletext"/>
              <w:jc w:val="center"/>
            </w:pPr>
            <w:r>
              <w:t>Summative external assessment (EA): 50%</w:t>
            </w:r>
          </w:p>
          <w:p w:rsidR="00EB76BB" w:rsidRDefault="00EB76BB" w:rsidP="00622376">
            <w:pPr>
              <w:pStyle w:val="TableBullet"/>
              <w:jc w:val="center"/>
            </w:pPr>
            <w:r>
              <w:t>Examination</w:t>
            </w:r>
          </w:p>
        </w:tc>
      </w:tr>
    </w:tbl>
    <w:p w:rsidR="00814E36" w:rsidRDefault="00814E36" w:rsidP="00814E36"/>
    <w:bookmarkEnd w:id="120"/>
    <w:p w:rsidR="00AD2EDF" w:rsidRDefault="00AD2EDF" w:rsidP="00814E36">
      <w:pPr>
        <w:sectPr w:rsidR="00AD2EDF" w:rsidSect="005F3A96">
          <w:headerReference w:type="default" r:id="rId25"/>
          <w:type w:val="continuous"/>
          <w:pgSz w:w="11907" w:h="16840" w:code="9"/>
          <w:pgMar w:top="1134" w:right="1418" w:bottom="1701" w:left="1418" w:header="567" w:footer="284" w:gutter="0"/>
          <w:cols w:space="720"/>
          <w:formProt w:val="0"/>
          <w:noEndnote/>
          <w:docGrid w:linePitch="299"/>
        </w:sectPr>
      </w:pPr>
    </w:p>
    <w:tbl>
      <w:tblPr>
        <w:tblStyle w:val="TextLayout"/>
        <w:tblW w:w="5650" w:type="pct"/>
        <w:tblInd w:w="-170" w:type="dxa"/>
        <w:tblLayout w:type="fixed"/>
        <w:tblLook w:val="04A0" w:firstRow="1" w:lastRow="0" w:firstColumn="1" w:lastColumn="0" w:noHBand="0" w:noVBand="1"/>
      </w:tblPr>
      <w:tblGrid>
        <w:gridCol w:w="141"/>
        <w:gridCol w:w="9264"/>
        <w:gridCol w:w="845"/>
      </w:tblGrid>
      <w:tr w:rsidR="00302679" w:rsidRPr="003B6F39" w:rsidTr="00BE0C34">
        <w:trPr>
          <w:trHeight w:hRule="exact" w:val="851"/>
        </w:trPr>
        <w:tc>
          <w:tcPr>
            <w:tcW w:w="142" w:type="dxa"/>
            <w:shd w:val="clear" w:color="auto" w:fill="F26A21"/>
          </w:tcPr>
          <w:p w:rsidR="00302679" w:rsidRDefault="00302679" w:rsidP="00BE0C34">
            <w:pPr>
              <w:pStyle w:val="Tabletext"/>
            </w:pPr>
          </w:p>
        </w:tc>
        <w:tc>
          <w:tcPr>
            <w:tcW w:w="9323" w:type="dxa"/>
            <w:tcMar>
              <w:left w:w="57" w:type="dxa"/>
            </w:tcMar>
            <w:vAlign w:val="center"/>
          </w:tcPr>
          <w:p w:rsidR="00302679" w:rsidRDefault="00302679" w:rsidP="00CD2D5C">
            <w:pPr>
              <w:pStyle w:val="SubjectHeading"/>
            </w:pPr>
            <w:r>
              <w:t>Mathematical Methods</w:t>
            </w:r>
          </w:p>
          <w:p w:rsidR="00302679" w:rsidRPr="00E86C01" w:rsidRDefault="00302679" w:rsidP="00BE0C34">
            <w:pPr>
              <w:pStyle w:val="Heading3"/>
              <w:spacing w:before="0" w:after="0"/>
            </w:pPr>
            <w:bookmarkStart w:id="122" w:name="_Toc16163504"/>
            <w:r>
              <w:t>General senior subject</w:t>
            </w:r>
            <w:bookmarkEnd w:id="122"/>
          </w:p>
        </w:tc>
        <w:tc>
          <w:tcPr>
            <w:tcW w:w="850" w:type="dxa"/>
            <w:shd w:val="clear" w:color="auto" w:fill="F26A21"/>
            <w:tcMar>
              <w:bottom w:w="28" w:type="dxa"/>
              <w:right w:w="57" w:type="dxa"/>
            </w:tcMar>
            <w:vAlign w:val="bottom"/>
          </w:tcPr>
          <w:p w:rsidR="00302679" w:rsidRPr="00E86C01" w:rsidRDefault="00302679" w:rsidP="00BE0C34">
            <w:pPr>
              <w:pStyle w:val="Heading3"/>
              <w:spacing w:before="0" w:after="100" w:afterAutospacing="1"/>
              <w:jc w:val="right"/>
              <w:rPr>
                <w:color w:val="FFFFFF" w:themeColor="background1"/>
                <w:sz w:val="17"/>
                <w:szCs w:val="17"/>
              </w:rPr>
            </w:pPr>
            <w:bookmarkStart w:id="123" w:name="_Toc16163505"/>
            <w:r w:rsidRPr="00E86C01">
              <w:rPr>
                <w:color w:val="FFFFFF" w:themeColor="background1"/>
                <w:sz w:val="17"/>
                <w:szCs w:val="17"/>
              </w:rPr>
              <w:t>General</w:t>
            </w:r>
            <w:bookmarkEnd w:id="123"/>
          </w:p>
        </w:tc>
      </w:tr>
      <w:tr w:rsidR="00302679" w:rsidRPr="003B6F39" w:rsidTr="00BE0C34">
        <w:trPr>
          <w:trHeight w:hRule="exact" w:val="113"/>
        </w:trPr>
        <w:tc>
          <w:tcPr>
            <w:tcW w:w="10315" w:type="dxa"/>
            <w:gridSpan w:val="3"/>
            <w:shd w:val="clear" w:color="auto" w:fill="auto"/>
          </w:tcPr>
          <w:p w:rsidR="00302679" w:rsidRPr="00E86C01" w:rsidRDefault="00302679" w:rsidP="00BE0C34">
            <w:pPr>
              <w:pStyle w:val="Smallspace"/>
            </w:pPr>
          </w:p>
        </w:tc>
      </w:tr>
    </w:tbl>
    <w:p w:rsidR="00814E36" w:rsidRDefault="00814E36" w:rsidP="00AF468C">
      <w:pPr>
        <w:pStyle w:val="BodyText"/>
        <w:spacing w:before="120"/>
        <w:rPr>
          <w:noProof/>
        </w:rPr>
        <w:sectPr w:rsidR="00814E36" w:rsidSect="00AD2EDF">
          <w:pgSz w:w="11907" w:h="16840" w:code="9"/>
          <w:pgMar w:top="1134" w:right="1418" w:bottom="1701" w:left="1418" w:header="567" w:footer="284" w:gutter="0"/>
          <w:cols w:space="720"/>
          <w:formProt w:val="0"/>
          <w:noEndnote/>
          <w:docGrid w:linePitch="299"/>
        </w:sectPr>
      </w:pPr>
    </w:p>
    <w:p w:rsidR="009F4F4D" w:rsidRDefault="00B42D4A" w:rsidP="00AF468C">
      <w:pPr>
        <w:pStyle w:val="BodyText"/>
        <w:spacing w:before="120"/>
        <w:rPr>
          <w:noProof/>
        </w:rPr>
      </w:pPr>
      <w:r w:rsidRPr="00B42D4A">
        <w:rPr>
          <w:noProof/>
        </w:rPr>
        <w:t>Mathematical Methods</w:t>
      </w:r>
      <w:r w:rsidR="002009F0">
        <w:rPr>
          <w:noProof/>
        </w:rPr>
        <w:t>’</w:t>
      </w:r>
      <w:r w:rsidRPr="00B42D4A">
        <w:rPr>
          <w:noProof/>
        </w:rPr>
        <w:t xml:space="preserve"> </w:t>
      </w:r>
      <w:r>
        <w:rPr>
          <w:noProof/>
        </w:rPr>
        <w:t>major domains are</w:t>
      </w:r>
      <w:r w:rsidRPr="00B42D4A">
        <w:rPr>
          <w:noProof/>
        </w:rPr>
        <w:t xml:space="preserve"> Algebra, Functions, relations and their graphs, Calculus and Statistics. </w:t>
      </w:r>
    </w:p>
    <w:p w:rsidR="009F4F4D" w:rsidRDefault="009F4F4D" w:rsidP="009F4F4D">
      <w:pPr>
        <w:pStyle w:val="BodyText"/>
        <w:spacing w:before="120"/>
        <w:rPr>
          <w:noProof/>
        </w:rPr>
      </w:pPr>
      <w:r>
        <w:t xml:space="preserve">Mathematical Methods </w:t>
      </w:r>
      <w:r w:rsidR="00622376">
        <w:t>enables</w:t>
      </w:r>
      <w:r>
        <w:t xml:space="preserve"> students to see the connections between mathematics and other areas of the curriculum and apply their mathematical skills to real-world problems, becoming critical thinkers, innovators and problem-solvers.</w:t>
      </w:r>
    </w:p>
    <w:p w:rsidR="00EF665A" w:rsidRDefault="009F4F4D" w:rsidP="00EF665A">
      <w:pPr>
        <w:pStyle w:val="BodyText"/>
        <w:spacing w:before="120"/>
        <w:rPr>
          <w:noProof/>
        </w:rPr>
      </w:pPr>
      <w:r>
        <w:rPr>
          <w:noProof/>
        </w:rPr>
        <w:t>Students learn t</w:t>
      </w:r>
      <w:r w:rsidR="00B42D4A" w:rsidRPr="00B42D4A">
        <w:rPr>
          <w:noProof/>
        </w:rPr>
        <w:t xml:space="preserve">opics </w:t>
      </w:r>
      <w:r>
        <w:rPr>
          <w:noProof/>
        </w:rPr>
        <w:t xml:space="preserve">that </w:t>
      </w:r>
      <w:r w:rsidR="00B42D4A" w:rsidRPr="00B42D4A">
        <w:rPr>
          <w:noProof/>
        </w:rPr>
        <w:t xml:space="preserve">are developed systematically, with increasing levels of sophistication, complexity and connection, and build on algebra, functions and their graphs, and probability from the P–10 Australian Curriculum. Calculus is essential for developing an understanding of the physical world. The domain Statistics is used to describe and analyse phenomena involving uncertainty and variation. Both are the basis for developing effective models of the world and solving complex and abstract mathematical problems. </w:t>
      </w:r>
    </w:p>
    <w:p w:rsidR="00EF665A" w:rsidRDefault="00EF665A" w:rsidP="00EF665A">
      <w:pPr>
        <w:pStyle w:val="BodyText"/>
        <w:spacing w:before="120"/>
      </w:pPr>
      <w:r>
        <w:rPr>
          <w:noProof/>
        </w:rPr>
        <w:t xml:space="preserve">Students develop the </w:t>
      </w:r>
      <w:r w:rsidR="00B42D4A" w:rsidRPr="00B42D4A">
        <w:rPr>
          <w:noProof/>
        </w:rPr>
        <w:t>ability to translate written, numerical, algebraic, symbolic and graphical information from one representation to another</w:t>
      </w:r>
      <w:r>
        <w:rPr>
          <w:noProof/>
        </w:rPr>
        <w:t xml:space="preserve">. </w:t>
      </w:r>
      <w:r w:rsidR="00F91BF4">
        <w:t xml:space="preserve">They </w:t>
      </w:r>
      <w:r w:rsidR="00F91BF4" w:rsidRPr="00F91BF4">
        <w:t xml:space="preserve">make complex use of </w:t>
      </w:r>
      <w:r w:rsidR="00F91BF4">
        <w:t xml:space="preserve">factual </w:t>
      </w:r>
      <w:r w:rsidR="00F91BF4" w:rsidRPr="00F91BF4">
        <w:t>knowledge to successfully formulate, represent and solve mathematical problems.</w:t>
      </w:r>
    </w:p>
    <w:p w:rsidR="003D13C6" w:rsidRDefault="003D13C6" w:rsidP="00EF665A">
      <w:pPr>
        <w:pStyle w:val="BodyText"/>
        <w:spacing w:before="120"/>
      </w:pPr>
    </w:p>
    <w:p w:rsidR="003D13C6" w:rsidRDefault="003D13C6" w:rsidP="00EF665A">
      <w:pPr>
        <w:pStyle w:val="BodyText"/>
        <w:spacing w:before="120"/>
      </w:pPr>
    </w:p>
    <w:p w:rsidR="003D13C6" w:rsidRDefault="003D13C6" w:rsidP="00EF665A">
      <w:pPr>
        <w:pStyle w:val="BodyText"/>
        <w:spacing w:before="120"/>
      </w:pPr>
    </w:p>
    <w:p w:rsidR="003D13C6" w:rsidRDefault="003D13C6" w:rsidP="00EF665A">
      <w:pPr>
        <w:pStyle w:val="BodyText"/>
        <w:spacing w:before="120"/>
      </w:pPr>
    </w:p>
    <w:p w:rsidR="003D13C6" w:rsidRDefault="003D13C6" w:rsidP="00EF665A">
      <w:pPr>
        <w:pStyle w:val="BodyText"/>
        <w:spacing w:before="120"/>
      </w:pPr>
    </w:p>
    <w:p w:rsidR="00AF468C" w:rsidRDefault="00AF468C" w:rsidP="003D13C6">
      <w:pPr>
        <w:pStyle w:val="Heading3"/>
        <w:spacing w:before="120"/>
      </w:pPr>
      <w:bookmarkStart w:id="124" w:name="_Toc16163506"/>
      <w:r>
        <w:t>Pathways</w:t>
      </w:r>
      <w:bookmarkEnd w:id="124"/>
    </w:p>
    <w:p w:rsidR="00AF468C" w:rsidRDefault="00B42D4A" w:rsidP="00B42D4A">
      <w:pPr>
        <w:pStyle w:val="BodyText"/>
        <w:spacing w:before="120"/>
        <w:rPr>
          <w:noProof/>
        </w:rPr>
      </w:pPr>
      <w:r w:rsidRPr="00B42D4A">
        <w:rPr>
          <w:noProof/>
        </w:rPr>
        <w:t>A course of study in Mathematical Methods can establish a basis for further education and employment in the fields of natural and physical sciences (especially physics and chemistry), mathematics and science education, medical and health sciences (including human biology, biomedical science, nanoscience and forensics), engineering (including chemical, civil, electrical and mechanical engineering, avionics, communications and mining), computer science (including electronics and software design), psychology and business.</w:t>
      </w:r>
    </w:p>
    <w:p w:rsidR="00AF468C" w:rsidRDefault="00AF468C" w:rsidP="00AF468C">
      <w:pPr>
        <w:pStyle w:val="Heading3"/>
      </w:pPr>
      <w:bookmarkStart w:id="125" w:name="_Toc16163507"/>
      <w:r>
        <w:t>Objectives</w:t>
      </w:r>
      <w:bookmarkEnd w:id="125"/>
    </w:p>
    <w:p w:rsidR="00814E36" w:rsidRPr="00814E36" w:rsidRDefault="00814E36" w:rsidP="00814E36">
      <w:pPr>
        <w:pStyle w:val="BodyText"/>
      </w:pPr>
      <w:r w:rsidRPr="00814E36">
        <w:t>By the conclusion of the course of study, students will:</w:t>
      </w:r>
    </w:p>
    <w:p w:rsidR="00814E36" w:rsidRDefault="00814E36" w:rsidP="00814E36">
      <w:pPr>
        <w:pStyle w:val="ListBullet0"/>
        <w:rPr>
          <w:noProof/>
        </w:rPr>
      </w:pPr>
      <w:r>
        <w:rPr>
          <w:noProof/>
        </w:rPr>
        <w:t>select, recall and use facts, rules, definitions and procedures drawn from Algebra, Functions, relations and their graphs, Calculus and Statistics</w:t>
      </w:r>
    </w:p>
    <w:p w:rsidR="00814E36" w:rsidRDefault="00814E36" w:rsidP="00814E36">
      <w:pPr>
        <w:pStyle w:val="ListBullet0"/>
        <w:rPr>
          <w:noProof/>
        </w:rPr>
      </w:pPr>
      <w:r>
        <w:rPr>
          <w:noProof/>
        </w:rPr>
        <w:t>comprehend mathematical concepts and techniques drawn from Algebra, Functions, relations and their graphs, Calculus and Statistics</w:t>
      </w:r>
    </w:p>
    <w:p w:rsidR="00814E36" w:rsidRDefault="00814E36" w:rsidP="00814E36">
      <w:pPr>
        <w:pStyle w:val="ListBullet0"/>
        <w:rPr>
          <w:noProof/>
        </w:rPr>
      </w:pPr>
      <w:r>
        <w:rPr>
          <w:noProof/>
        </w:rPr>
        <w:t>communicate using mathematical, statistical and everyday language and conventions</w:t>
      </w:r>
    </w:p>
    <w:p w:rsidR="00814E36" w:rsidRDefault="00814E36" w:rsidP="00814E36">
      <w:pPr>
        <w:pStyle w:val="ListBullet0"/>
        <w:rPr>
          <w:noProof/>
        </w:rPr>
      </w:pPr>
      <w:r>
        <w:rPr>
          <w:noProof/>
        </w:rPr>
        <w:t>evaluate the reasonableness of solutions</w:t>
      </w:r>
    </w:p>
    <w:p w:rsidR="00814E36" w:rsidRDefault="00814E36" w:rsidP="00B42D4A">
      <w:pPr>
        <w:pStyle w:val="ListBullet0"/>
        <w:rPr>
          <w:noProof/>
        </w:rPr>
      </w:pPr>
      <w:r>
        <w:rPr>
          <w:noProof/>
        </w:rPr>
        <w:t>justify procedures and decisions by explaining mathematical reasoning</w:t>
      </w:r>
    </w:p>
    <w:p w:rsidR="00AF468C" w:rsidRDefault="00814E36" w:rsidP="006B7BA8">
      <w:pPr>
        <w:pStyle w:val="ListBullet0"/>
        <w:rPr>
          <w:noProof/>
        </w:rPr>
      </w:pPr>
      <w:r>
        <w:rPr>
          <w:noProof/>
        </w:rPr>
        <w:t>solve problems by applying mathematical concepts and techniques drawn from Algebra, Functions, relations and their graphs, Calculus and Statistics</w:t>
      </w:r>
      <w:r w:rsidR="00AF468C">
        <w:rPr>
          <w:noProof/>
        </w:rPr>
        <w:t>.</w:t>
      </w:r>
    </w:p>
    <w:p w:rsidR="00814E36" w:rsidRDefault="00814E36" w:rsidP="00AF468C">
      <w:pPr>
        <w:pStyle w:val="Heading3"/>
        <w:sectPr w:rsidR="00814E36" w:rsidSect="005F3A96">
          <w:type w:val="continuous"/>
          <w:pgSz w:w="11907" w:h="16840" w:code="9"/>
          <w:pgMar w:top="1134" w:right="1418" w:bottom="1701" w:left="1418" w:header="567" w:footer="284" w:gutter="0"/>
          <w:cols w:num="2" w:space="720"/>
          <w:formProt w:val="0"/>
          <w:noEndnote/>
          <w:docGrid w:linePitch="299"/>
        </w:sectPr>
      </w:pPr>
    </w:p>
    <w:p w:rsidR="00622376" w:rsidRPr="00385F12" w:rsidRDefault="00622376" w:rsidP="00385F12">
      <w:r w:rsidRPr="00385F12">
        <w:br w:type="page"/>
      </w:r>
    </w:p>
    <w:p w:rsidR="00AF468C" w:rsidRDefault="00AF468C" w:rsidP="00F056B0">
      <w:pPr>
        <w:pStyle w:val="Heading3"/>
      </w:pPr>
      <w:bookmarkStart w:id="126" w:name="_Toc16163508"/>
      <w:r>
        <w:t>Structure</w:t>
      </w:r>
      <w:bookmarkEnd w:id="126"/>
    </w:p>
    <w:tbl>
      <w:tblPr>
        <w:tblStyle w:val="QCAAtablestyle1"/>
        <w:tblW w:w="4900" w:type="pct"/>
        <w:tblLook w:val="04A0" w:firstRow="1" w:lastRow="0" w:firstColumn="1" w:lastColumn="0" w:noHBand="0" w:noVBand="1"/>
      </w:tblPr>
      <w:tblGrid>
        <w:gridCol w:w="2219"/>
        <w:gridCol w:w="2220"/>
        <w:gridCol w:w="2220"/>
        <w:gridCol w:w="2221"/>
      </w:tblGrid>
      <w:tr w:rsidR="00AF468C" w:rsidTr="00814E36">
        <w:trPr>
          <w:cnfStyle w:val="100000000000" w:firstRow="1" w:lastRow="0" w:firstColumn="0" w:lastColumn="0" w:oddVBand="0" w:evenVBand="0" w:oddHBand="0" w:evenHBand="0" w:firstRowFirstColumn="0" w:firstRowLastColumn="0" w:lastRowFirstColumn="0" w:lastRowLastColumn="0"/>
        </w:trPr>
        <w:tc>
          <w:tcPr>
            <w:tcW w:w="2219" w:type="dxa"/>
          </w:tcPr>
          <w:p w:rsidR="00AF468C" w:rsidRDefault="00AF468C" w:rsidP="006A4F57">
            <w:pPr>
              <w:pStyle w:val="TableHeading0"/>
            </w:pPr>
            <w:r>
              <w:t>Unit 1</w:t>
            </w:r>
          </w:p>
        </w:tc>
        <w:tc>
          <w:tcPr>
            <w:tcW w:w="2220" w:type="dxa"/>
          </w:tcPr>
          <w:p w:rsidR="00AF468C" w:rsidRDefault="00AF468C" w:rsidP="006A4F57">
            <w:pPr>
              <w:pStyle w:val="TableHeading0"/>
            </w:pPr>
            <w:r>
              <w:t>Unit 2</w:t>
            </w:r>
          </w:p>
        </w:tc>
        <w:tc>
          <w:tcPr>
            <w:tcW w:w="2220" w:type="dxa"/>
          </w:tcPr>
          <w:p w:rsidR="00AF468C" w:rsidRDefault="00AF468C" w:rsidP="006A4F57">
            <w:pPr>
              <w:pStyle w:val="TableHeading0"/>
            </w:pPr>
            <w:r>
              <w:t>Unit 3</w:t>
            </w:r>
          </w:p>
        </w:tc>
        <w:tc>
          <w:tcPr>
            <w:tcW w:w="2221" w:type="dxa"/>
          </w:tcPr>
          <w:p w:rsidR="00AF468C" w:rsidRDefault="00AF468C" w:rsidP="006A4F57">
            <w:pPr>
              <w:pStyle w:val="TableHeading0"/>
            </w:pPr>
            <w:r>
              <w:t>Unit 4</w:t>
            </w:r>
          </w:p>
        </w:tc>
      </w:tr>
      <w:tr w:rsidR="00AF468C" w:rsidTr="00814E36">
        <w:tc>
          <w:tcPr>
            <w:tcW w:w="2219" w:type="dxa"/>
          </w:tcPr>
          <w:p w:rsidR="00814E36" w:rsidRPr="00814E36" w:rsidRDefault="00814E36" w:rsidP="00814E36">
            <w:pPr>
              <w:pStyle w:val="Tabletext"/>
              <w:rPr>
                <w:b/>
              </w:rPr>
            </w:pPr>
            <w:r w:rsidRPr="00814E36">
              <w:rPr>
                <w:b/>
              </w:rPr>
              <w:t>Algebra, statistics and functions</w:t>
            </w:r>
          </w:p>
          <w:p w:rsidR="00814E36" w:rsidRPr="00814E36" w:rsidRDefault="00814E36" w:rsidP="00814E36">
            <w:pPr>
              <w:pStyle w:val="TableBullet"/>
            </w:pPr>
            <w:r w:rsidRPr="00814E36">
              <w:t xml:space="preserve">Arithmetic and geometric sequences and </w:t>
            </w:r>
            <w:r w:rsidR="00622376" w:rsidRPr="00814E36">
              <w:t>series</w:t>
            </w:r>
            <w:r w:rsidR="00622376">
              <w:t> </w:t>
            </w:r>
            <w:r w:rsidRPr="00814E36">
              <w:t>1</w:t>
            </w:r>
          </w:p>
          <w:p w:rsidR="00814E36" w:rsidRPr="00814E36" w:rsidRDefault="00814E36" w:rsidP="00814E36">
            <w:pPr>
              <w:pStyle w:val="TableBullet"/>
            </w:pPr>
            <w:r w:rsidRPr="00814E36">
              <w:t>Functions and graphs</w:t>
            </w:r>
          </w:p>
          <w:p w:rsidR="00814E36" w:rsidRPr="00814E36" w:rsidRDefault="00814E36" w:rsidP="00814E36">
            <w:pPr>
              <w:pStyle w:val="TableBullet"/>
            </w:pPr>
            <w:r w:rsidRPr="00814E36">
              <w:t>Counting and probability</w:t>
            </w:r>
          </w:p>
          <w:p w:rsidR="00814E36" w:rsidRPr="00814E36" w:rsidRDefault="00C43E89" w:rsidP="00814E36">
            <w:pPr>
              <w:pStyle w:val="TableBullet"/>
            </w:pPr>
            <w:r>
              <w:t>Exponential functions </w:t>
            </w:r>
            <w:r w:rsidR="00814E36" w:rsidRPr="00814E36">
              <w:t>1</w:t>
            </w:r>
          </w:p>
          <w:p w:rsidR="00AF468C" w:rsidRDefault="00814E36" w:rsidP="00814E36">
            <w:pPr>
              <w:pStyle w:val="TableBullet"/>
            </w:pPr>
            <w:r w:rsidRPr="00814E36">
              <w:t>Arithmetic and geometric sequences</w:t>
            </w:r>
          </w:p>
        </w:tc>
        <w:tc>
          <w:tcPr>
            <w:tcW w:w="2220" w:type="dxa"/>
          </w:tcPr>
          <w:p w:rsidR="00814E36" w:rsidRPr="00814E36" w:rsidRDefault="00814E36" w:rsidP="00814E36">
            <w:pPr>
              <w:pStyle w:val="Tabletext"/>
              <w:rPr>
                <w:b/>
              </w:rPr>
            </w:pPr>
            <w:r w:rsidRPr="00814E36">
              <w:rPr>
                <w:b/>
              </w:rPr>
              <w:t>Calculus and further functions</w:t>
            </w:r>
          </w:p>
          <w:p w:rsidR="00814E36" w:rsidRDefault="00C43E89" w:rsidP="00814E36">
            <w:pPr>
              <w:pStyle w:val="TableBullet"/>
            </w:pPr>
            <w:r>
              <w:t>Exponential functions </w:t>
            </w:r>
            <w:r w:rsidR="00814E36">
              <w:t>2</w:t>
            </w:r>
          </w:p>
          <w:p w:rsidR="00814E36" w:rsidRDefault="00814E36" w:rsidP="00814E36">
            <w:pPr>
              <w:pStyle w:val="TableBullet"/>
            </w:pPr>
            <w:r>
              <w:t>The logarithmic function 1</w:t>
            </w:r>
          </w:p>
          <w:p w:rsidR="00814E36" w:rsidRDefault="00814E36" w:rsidP="00814E36">
            <w:pPr>
              <w:pStyle w:val="TableBullet"/>
            </w:pPr>
            <w:r>
              <w:t>Trigonometric functions 1</w:t>
            </w:r>
          </w:p>
          <w:p w:rsidR="00814E36" w:rsidRDefault="00814E36" w:rsidP="00814E36">
            <w:pPr>
              <w:pStyle w:val="TableBullet"/>
            </w:pPr>
            <w:r>
              <w:t>Introduction to differential calculus</w:t>
            </w:r>
          </w:p>
          <w:p w:rsidR="00814E36" w:rsidRDefault="00814E36" w:rsidP="00814E36">
            <w:pPr>
              <w:pStyle w:val="TableBullet"/>
            </w:pPr>
            <w:r>
              <w:t>Further differentiation and applications 1</w:t>
            </w:r>
          </w:p>
          <w:p w:rsidR="00AF468C" w:rsidRDefault="00814E36" w:rsidP="00814E36">
            <w:pPr>
              <w:pStyle w:val="TableBullet"/>
            </w:pPr>
            <w:r>
              <w:t>Discrete random variables 1</w:t>
            </w:r>
          </w:p>
        </w:tc>
        <w:tc>
          <w:tcPr>
            <w:tcW w:w="2220" w:type="dxa"/>
            <w:shd w:val="clear" w:color="auto" w:fill="auto"/>
          </w:tcPr>
          <w:p w:rsidR="00814E36" w:rsidRPr="00814E36" w:rsidRDefault="00814E36" w:rsidP="00814E36">
            <w:pPr>
              <w:pStyle w:val="Tabletext"/>
              <w:rPr>
                <w:b/>
              </w:rPr>
            </w:pPr>
            <w:r w:rsidRPr="00814E36">
              <w:rPr>
                <w:b/>
              </w:rPr>
              <w:t>Further calculus</w:t>
            </w:r>
          </w:p>
          <w:p w:rsidR="00814E36" w:rsidRDefault="00814E36" w:rsidP="00814E36">
            <w:pPr>
              <w:pStyle w:val="TableBullet"/>
            </w:pPr>
            <w:r>
              <w:t>The logarithmic function 2</w:t>
            </w:r>
          </w:p>
          <w:p w:rsidR="00814E36" w:rsidRDefault="00814E36" w:rsidP="00814E36">
            <w:pPr>
              <w:pStyle w:val="TableBullet"/>
            </w:pPr>
            <w:r>
              <w:t>Further differentiation and applications 2</w:t>
            </w:r>
          </w:p>
          <w:p w:rsidR="00AF468C" w:rsidRDefault="00814E36" w:rsidP="00814E36">
            <w:pPr>
              <w:pStyle w:val="TableBullet"/>
            </w:pPr>
            <w:r>
              <w:t>Integrals</w:t>
            </w:r>
          </w:p>
        </w:tc>
        <w:tc>
          <w:tcPr>
            <w:tcW w:w="2221" w:type="dxa"/>
            <w:shd w:val="clear" w:color="auto" w:fill="auto"/>
          </w:tcPr>
          <w:p w:rsidR="00814E36" w:rsidRPr="00814E36" w:rsidRDefault="00814E36" w:rsidP="00814E36">
            <w:pPr>
              <w:pStyle w:val="Tabletext"/>
              <w:rPr>
                <w:b/>
              </w:rPr>
            </w:pPr>
            <w:r w:rsidRPr="00814E36">
              <w:rPr>
                <w:b/>
              </w:rPr>
              <w:t>Further functions and statistics</w:t>
            </w:r>
          </w:p>
          <w:p w:rsidR="00814E36" w:rsidRDefault="00814E36" w:rsidP="00814E36">
            <w:pPr>
              <w:pStyle w:val="TableBullet"/>
            </w:pPr>
            <w:r>
              <w:t>Further differentiation and applications 3</w:t>
            </w:r>
          </w:p>
          <w:p w:rsidR="00814E36" w:rsidRDefault="00814E36" w:rsidP="00814E36">
            <w:pPr>
              <w:pStyle w:val="TableBullet"/>
            </w:pPr>
            <w:r>
              <w:t>Trigonometric functions 2</w:t>
            </w:r>
          </w:p>
          <w:p w:rsidR="00814E36" w:rsidRDefault="00814E36" w:rsidP="00814E36">
            <w:pPr>
              <w:pStyle w:val="TableBullet"/>
            </w:pPr>
            <w:r>
              <w:t>Discrete random variables 2</w:t>
            </w:r>
          </w:p>
          <w:p w:rsidR="00814E36" w:rsidRDefault="00814E36" w:rsidP="00814E36">
            <w:pPr>
              <w:pStyle w:val="TableBullet"/>
            </w:pPr>
            <w:r>
              <w:t>Continuous random variables and the normal distribution</w:t>
            </w:r>
          </w:p>
          <w:p w:rsidR="00AF468C" w:rsidRDefault="00814E36" w:rsidP="00814E36">
            <w:pPr>
              <w:pStyle w:val="TableBullet"/>
            </w:pPr>
            <w:r>
              <w:t>Interval estimates for proportions</w:t>
            </w:r>
          </w:p>
        </w:tc>
      </w:tr>
    </w:tbl>
    <w:p w:rsidR="00814E36" w:rsidRDefault="00814E36" w:rsidP="00814E36">
      <w:pPr>
        <w:pStyle w:val="Heading3"/>
      </w:pPr>
      <w:bookmarkStart w:id="127" w:name="_Toc16163509"/>
      <w:r>
        <w:t>Assessment</w:t>
      </w:r>
      <w:bookmarkEnd w:id="127"/>
    </w:p>
    <w:p w:rsidR="00B735D3" w:rsidRDefault="00B735D3" w:rsidP="00B735D3">
      <w:pPr>
        <w:pStyle w:val="BodyText"/>
      </w:pPr>
      <w:bookmarkStart w:id="128" w:name="_Hlk494813364"/>
      <w:r>
        <w:t>S</w:t>
      </w:r>
      <w:r w:rsidRPr="008C3C06">
        <w:t>chools devise assessment</w:t>
      </w:r>
      <w:r>
        <w:t>s</w:t>
      </w:r>
      <w:r w:rsidRPr="008C3C06">
        <w:t xml:space="preserve"> </w:t>
      </w:r>
      <w:r>
        <w:t>i</w:t>
      </w:r>
      <w:r w:rsidRPr="008C3C06">
        <w:t>n Units 1 and 2 to suit their local context.</w:t>
      </w:r>
      <w:r>
        <w:t xml:space="preserve"> </w:t>
      </w:r>
    </w:p>
    <w:p w:rsidR="00B735D3" w:rsidRDefault="00B735D3" w:rsidP="00B735D3">
      <w:pPr>
        <w:pStyle w:val="BodyText"/>
      </w:pPr>
      <w:r>
        <w:t>I</w:t>
      </w:r>
      <w:r w:rsidRPr="008C3C06">
        <w:t xml:space="preserve">n Units 3 and 4 </w:t>
      </w:r>
      <w:r>
        <w:t>s</w:t>
      </w:r>
      <w:r w:rsidRPr="008C3C06">
        <w:t>tudents complete four summative assessments</w:t>
      </w:r>
      <w:r>
        <w:t>. The results from each of the assessments are added together to prov</w:t>
      </w:r>
      <w:r w:rsidR="008C2D83">
        <w:t>ide a subject score out of 100.</w:t>
      </w:r>
      <w:r>
        <w:t xml:space="preserve"> Students will also receive an overall subject result (A</w:t>
      </w:r>
      <w:r w:rsidR="00622376">
        <w:t>–</w:t>
      </w:r>
      <w:r>
        <w:t>E).</w:t>
      </w:r>
    </w:p>
    <w:p w:rsidR="00814E36" w:rsidRDefault="000D2D7A" w:rsidP="00F056B0">
      <w:pPr>
        <w:pStyle w:val="Caption"/>
      </w:pPr>
      <w:r>
        <w:t>Summative assessments</w:t>
      </w:r>
      <w:bookmarkEnd w:id="128"/>
    </w:p>
    <w:tbl>
      <w:tblPr>
        <w:tblStyle w:val="QCAAtablestyle1"/>
        <w:tblW w:w="4900" w:type="pct"/>
        <w:tblLayout w:type="fixed"/>
        <w:tblLook w:val="04A0" w:firstRow="1" w:lastRow="0" w:firstColumn="1" w:lastColumn="0" w:noHBand="0" w:noVBand="1"/>
      </w:tblPr>
      <w:tblGrid>
        <w:gridCol w:w="3743"/>
        <w:gridCol w:w="697"/>
        <w:gridCol w:w="3743"/>
        <w:gridCol w:w="697"/>
      </w:tblGrid>
      <w:tr w:rsidR="004A570C" w:rsidTr="004C0D66">
        <w:trPr>
          <w:cnfStyle w:val="100000000000" w:firstRow="1" w:lastRow="0" w:firstColumn="0" w:lastColumn="0" w:oddVBand="0" w:evenVBand="0" w:oddHBand="0" w:evenHBand="0" w:firstRowFirstColumn="0" w:firstRowLastColumn="0" w:lastRowFirstColumn="0" w:lastRowLastColumn="0"/>
        </w:trPr>
        <w:tc>
          <w:tcPr>
            <w:tcW w:w="4536" w:type="dxa"/>
            <w:gridSpan w:val="2"/>
          </w:tcPr>
          <w:p w:rsidR="004A570C" w:rsidRDefault="004A570C" w:rsidP="006B7BA8">
            <w:pPr>
              <w:pStyle w:val="Tableheading"/>
            </w:pPr>
            <w:r>
              <w:t>Unit 3</w:t>
            </w:r>
          </w:p>
        </w:tc>
        <w:tc>
          <w:tcPr>
            <w:tcW w:w="4536" w:type="dxa"/>
            <w:gridSpan w:val="2"/>
          </w:tcPr>
          <w:p w:rsidR="004A570C" w:rsidRDefault="004A570C" w:rsidP="006B7BA8">
            <w:pPr>
              <w:pStyle w:val="Tableheading"/>
            </w:pPr>
            <w:r>
              <w:t>Unit 4</w:t>
            </w:r>
          </w:p>
        </w:tc>
      </w:tr>
      <w:tr w:rsidR="004A570C" w:rsidTr="004C0D66">
        <w:tc>
          <w:tcPr>
            <w:tcW w:w="3828" w:type="dxa"/>
          </w:tcPr>
          <w:p w:rsidR="004A570C" w:rsidRDefault="004A570C" w:rsidP="006B7BA8">
            <w:pPr>
              <w:pStyle w:val="Tabletext"/>
            </w:pPr>
            <w:r>
              <w:t xml:space="preserve">Summative internal assessment 1 (IA1): </w:t>
            </w:r>
          </w:p>
          <w:p w:rsidR="004A570C" w:rsidRDefault="004A570C" w:rsidP="006B7BA8">
            <w:pPr>
              <w:pStyle w:val="TableBullet"/>
            </w:pPr>
            <w:r>
              <w:t>Problem-solving and modelling task</w:t>
            </w:r>
          </w:p>
        </w:tc>
        <w:tc>
          <w:tcPr>
            <w:tcW w:w="0" w:type="dxa"/>
          </w:tcPr>
          <w:p w:rsidR="004A570C" w:rsidRDefault="004A570C" w:rsidP="006B7BA8">
            <w:pPr>
              <w:pStyle w:val="Tabletext"/>
            </w:pPr>
            <w:r>
              <w:t>20%</w:t>
            </w:r>
          </w:p>
        </w:tc>
        <w:tc>
          <w:tcPr>
            <w:tcW w:w="3828" w:type="dxa"/>
            <w:vMerge w:val="restart"/>
          </w:tcPr>
          <w:p w:rsidR="004A570C" w:rsidRDefault="004A570C" w:rsidP="006B7BA8">
            <w:pPr>
              <w:pStyle w:val="Tabletext"/>
            </w:pPr>
            <w:r>
              <w:t xml:space="preserve">Summative internal assessment 3 (IA3): </w:t>
            </w:r>
          </w:p>
          <w:p w:rsidR="004A570C" w:rsidRDefault="004A570C" w:rsidP="006B7BA8">
            <w:pPr>
              <w:pStyle w:val="TableBullet"/>
            </w:pPr>
            <w:r>
              <w:t>Examination</w:t>
            </w:r>
          </w:p>
        </w:tc>
        <w:tc>
          <w:tcPr>
            <w:tcW w:w="708" w:type="dxa"/>
            <w:vMerge w:val="restart"/>
          </w:tcPr>
          <w:p w:rsidR="004A570C" w:rsidRDefault="004A570C" w:rsidP="006B7BA8">
            <w:pPr>
              <w:pStyle w:val="Tabletext"/>
            </w:pPr>
            <w:r>
              <w:t>15%</w:t>
            </w:r>
          </w:p>
        </w:tc>
      </w:tr>
      <w:tr w:rsidR="004A570C" w:rsidTr="004C0D66">
        <w:tc>
          <w:tcPr>
            <w:tcW w:w="3828" w:type="dxa"/>
          </w:tcPr>
          <w:p w:rsidR="004A570C" w:rsidRDefault="004A570C" w:rsidP="006B7BA8">
            <w:pPr>
              <w:pStyle w:val="Tabletext"/>
            </w:pPr>
            <w:r>
              <w:t>Summativ</w:t>
            </w:r>
            <w:r w:rsidR="008C2D83">
              <w:t xml:space="preserve">e internal assessment 2 (IA2): </w:t>
            </w:r>
          </w:p>
          <w:p w:rsidR="004A570C" w:rsidRDefault="004A570C" w:rsidP="006B7BA8">
            <w:pPr>
              <w:pStyle w:val="TableBullet"/>
            </w:pPr>
            <w:r>
              <w:t>Examination</w:t>
            </w:r>
          </w:p>
        </w:tc>
        <w:tc>
          <w:tcPr>
            <w:tcW w:w="0" w:type="dxa"/>
          </w:tcPr>
          <w:p w:rsidR="004A570C" w:rsidRDefault="004A570C" w:rsidP="006B7BA8">
            <w:pPr>
              <w:pStyle w:val="Tabletext"/>
            </w:pPr>
            <w:r>
              <w:t>15%</w:t>
            </w:r>
          </w:p>
        </w:tc>
        <w:tc>
          <w:tcPr>
            <w:tcW w:w="3828" w:type="dxa"/>
            <w:vMerge/>
          </w:tcPr>
          <w:p w:rsidR="004A570C" w:rsidRDefault="004A570C" w:rsidP="006B7BA8">
            <w:pPr>
              <w:pStyle w:val="TableBullet"/>
            </w:pPr>
          </w:p>
        </w:tc>
        <w:tc>
          <w:tcPr>
            <w:tcW w:w="708" w:type="dxa"/>
            <w:vMerge/>
          </w:tcPr>
          <w:p w:rsidR="004A570C" w:rsidRDefault="004A570C" w:rsidP="006B7BA8">
            <w:pPr>
              <w:pStyle w:val="Tabletext"/>
            </w:pPr>
          </w:p>
        </w:tc>
      </w:tr>
      <w:tr w:rsidR="00EB76BB" w:rsidTr="004C0D66">
        <w:tc>
          <w:tcPr>
            <w:tcW w:w="9072" w:type="dxa"/>
            <w:gridSpan w:val="4"/>
          </w:tcPr>
          <w:p w:rsidR="00EB76BB" w:rsidRDefault="00EB76BB" w:rsidP="00D5573C">
            <w:pPr>
              <w:pStyle w:val="Tabletext"/>
              <w:jc w:val="center"/>
            </w:pPr>
            <w:r>
              <w:t>Summative external assessment (EA): 50%</w:t>
            </w:r>
          </w:p>
          <w:p w:rsidR="00EB76BB" w:rsidRDefault="00EB76BB" w:rsidP="00D5573C">
            <w:pPr>
              <w:pStyle w:val="TableBullet"/>
              <w:jc w:val="center"/>
            </w:pPr>
            <w:r>
              <w:t>Examination</w:t>
            </w:r>
          </w:p>
        </w:tc>
      </w:tr>
    </w:tbl>
    <w:p w:rsidR="00814E36" w:rsidRDefault="00814E36" w:rsidP="00814E36"/>
    <w:p w:rsidR="00814E36" w:rsidRDefault="00814E36">
      <w:r>
        <w:br w:type="page"/>
      </w:r>
    </w:p>
    <w:tbl>
      <w:tblPr>
        <w:tblStyle w:val="TextLayout"/>
        <w:tblW w:w="5650" w:type="pct"/>
        <w:tblInd w:w="-170" w:type="dxa"/>
        <w:tblLayout w:type="fixed"/>
        <w:tblLook w:val="04A0" w:firstRow="1" w:lastRow="0" w:firstColumn="1" w:lastColumn="0" w:noHBand="0" w:noVBand="1"/>
      </w:tblPr>
      <w:tblGrid>
        <w:gridCol w:w="141"/>
        <w:gridCol w:w="9264"/>
        <w:gridCol w:w="845"/>
      </w:tblGrid>
      <w:tr w:rsidR="00302679" w:rsidRPr="003B6F39" w:rsidTr="00BE0C34">
        <w:trPr>
          <w:trHeight w:hRule="exact" w:val="851"/>
        </w:trPr>
        <w:tc>
          <w:tcPr>
            <w:tcW w:w="142" w:type="dxa"/>
            <w:shd w:val="clear" w:color="auto" w:fill="F26A21"/>
          </w:tcPr>
          <w:p w:rsidR="00302679" w:rsidRDefault="00302679" w:rsidP="00BE0C34">
            <w:pPr>
              <w:pStyle w:val="Tabletext"/>
            </w:pPr>
          </w:p>
        </w:tc>
        <w:tc>
          <w:tcPr>
            <w:tcW w:w="9323" w:type="dxa"/>
            <w:tcMar>
              <w:left w:w="57" w:type="dxa"/>
            </w:tcMar>
            <w:vAlign w:val="center"/>
          </w:tcPr>
          <w:p w:rsidR="00302679" w:rsidRDefault="00302679" w:rsidP="00CD2D5C">
            <w:pPr>
              <w:pStyle w:val="SubjectHeading"/>
            </w:pPr>
            <w:r>
              <w:t>Specialist Mathematics</w:t>
            </w:r>
          </w:p>
          <w:p w:rsidR="00302679" w:rsidRPr="00E86C01" w:rsidRDefault="00302679" w:rsidP="00BE0C34">
            <w:pPr>
              <w:pStyle w:val="Heading3"/>
              <w:spacing w:before="0" w:after="0"/>
            </w:pPr>
            <w:bookmarkStart w:id="129" w:name="_Toc16163510"/>
            <w:r>
              <w:t>General senior subject</w:t>
            </w:r>
            <w:bookmarkEnd w:id="129"/>
          </w:p>
        </w:tc>
        <w:tc>
          <w:tcPr>
            <w:tcW w:w="850" w:type="dxa"/>
            <w:shd w:val="clear" w:color="auto" w:fill="F26A21"/>
            <w:tcMar>
              <w:bottom w:w="28" w:type="dxa"/>
              <w:right w:w="57" w:type="dxa"/>
            </w:tcMar>
            <w:vAlign w:val="bottom"/>
          </w:tcPr>
          <w:p w:rsidR="00302679" w:rsidRPr="00E86C01" w:rsidRDefault="00302679" w:rsidP="00BE0C34">
            <w:pPr>
              <w:pStyle w:val="Heading3"/>
              <w:spacing w:before="0" w:after="100" w:afterAutospacing="1"/>
              <w:jc w:val="right"/>
              <w:rPr>
                <w:color w:val="FFFFFF" w:themeColor="background1"/>
                <w:sz w:val="17"/>
                <w:szCs w:val="17"/>
              </w:rPr>
            </w:pPr>
            <w:bookmarkStart w:id="130" w:name="_Toc16163511"/>
            <w:r w:rsidRPr="00E86C01">
              <w:rPr>
                <w:color w:val="FFFFFF" w:themeColor="background1"/>
                <w:sz w:val="17"/>
                <w:szCs w:val="17"/>
              </w:rPr>
              <w:t>General</w:t>
            </w:r>
            <w:bookmarkEnd w:id="130"/>
          </w:p>
        </w:tc>
      </w:tr>
      <w:tr w:rsidR="00302679" w:rsidRPr="003B6F39" w:rsidTr="00BE0C34">
        <w:trPr>
          <w:trHeight w:hRule="exact" w:val="113"/>
        </w:trPr>
        <w:tc>
          <w:tcPr>
            <w:tcW w:w="10315" w:type="dxa"/>
            <w:gridSpan w:val="3"/>
            <w:shd w:val="clear" w:color="auto" w:fill="auto"/>
          </w:tcPr>
          <w:p w:rsidR="00302679" w:rsidRPr="00E86C01" w:rsidRDefault="00302679" w:rsidP="00BE0C34">
            <w:pPr>
              <w:pStyle w:val="Smallspace"/>
            </w:pPr>
          </w:p>
        </w:tc>
      </w:tr>
    </w:tbl>
    <w:p w:rsidR="009A25F9" w:rsidRDefault="009A25F9" w:rsidP="00AF468C">
      <w:pPr>
        <w:pStyle w:val="BodyText"/>
        <w:spacing w:before="120"/>
        <w:rPr>
          <w:noProof/>
        </w:rPr>
        <w:sectPr w:rsidR="009A25F9" w:rsidSect="005F3A96">
          <w:type w:val="continuous"/>
          <w:pgSz w:w="11907" w:h="16840" w:code="9"/>
          <w:pgMar w:top="1134" w:right="1418" w:bottom="1701" w:left="1418" w:header="567" w:footer="284" w:gutter="0"/>
          <w:cols w:space="720"/>
          <w:formProt w:val="0"/>
          <w:noEndnote/>
          <w:docGrid w:linePitch="299"/>
        </w:sectPr>
      </w:pPr>
    </w:p>
    <w:p w:rsidR="009F4F4D" w:rsidRDefault="009A25F9" w:rsidP="00AF468C">
      <w:pPr>
        <w:pStyle w:val="BodyText"/>
        <w:spacing w:before="120"/>
        <w:rPr>
          <w:noProof/>
        </w:rPr>
      </w:pPr>
      <w:r w:rsidRPr="009A25F9">
        <w:rPr>
          <w:noProof/>
        </w:rPr>
        <w:t>Specialist Mathematics</w:t>
      </w:r>
      <w:r w:rsidR="00815C44">
        <w:rPr>
          <w:noProof/>
        </w:rPr>
        <w:t>’</w:t>
      </w:r>
      <w:r w:rsidRPr="009A25F9">
        <w:rPr>
          <w:noProof/>
        </w:rPr>
        <w:t xml:space="preserve"> </w:t>
      </w:r>
      <w:r w:rsidR="00F91BF4">
        <w:rPr>
          <w:noProof/>
        </w:rPr>
        <w:t xml:space="preserve">major domains </w:t>
      </w:r>
      <w:r w:rsidRPr="009A25F9">
        <w:rPr>
          <w:noProof/>
        </w:rPr>
        <w:t xml:space="preserve">are Vectors and matrices, Real and complex numbers, Trigonometry, Statistics and Calculus. </w:t>
      </w:r>
    </w:p>
    <w:p w:rsidR="009F4F4D" w:rsidRDefault="009F4F4D" w:rsidP="009F4F4D">
      <w:pPr>
        <w:pStyle w:val="BodyText"/>
        <w:spacing w:before="120"/>
        <w:rPr>
          <w:noProof/>
        </w:rPr>
      </w:pPr>
      <w:r w:rsidRPr="009A25F9">
        <w:rPr>
          <w:noProof/>
        </w:rPr>
        <w:t xml:space="preserve">Specialist Mathematics </w:t>
      </w:r>
      <w:r>
        <w:rPr>
          <w:noProof/>
        </w:rPr>
        <w:t xml:space="preserve">is designed for students who </w:t>
      </w:r>
      <w:r w:rsidRPr="009A25F9">
        <w:rPr>
          <w:noProof/>
        </w:rPr>
        <w:t>develop confidence in their mathematical knowledge and ability, and gain a positive view of themselves as mathematics learners. They will gain an appreciation of the true nature of mathematics, its beauty and its power.</w:t>
      </w:r>
    </w:p>
    <w:p w:rsidR="009A25F9" w:rsidRDefault="009F4F4D" w:rsidP="00AF468C">
      <w:pPr>
        <w:pStyle w:val="BodyText"/>
        <w:spacing w:before="120"/>
        <w:rPr>
          <w:noProof/>
        </w:rPr>
      </w:pPr>
      <w:r>
        <w:rPr>
          <w:noProof/>
        </w:rPr>
        <w:t xml:space="preserve">Students learn topics that </w:t>
      </w:r>
      <w:r w:rsidR="009A25F9" w:rsidRPr="009A25F9">
        <w:rPr>
          <w:noProof/>
        </w:rPr>
        <w:t>are developed systematically, with increasing levels of sophistication, complexity and connection, building on functions, calculus, statistics from Mathematical Methods, while vectors, complex numbers and matrices are introduced. Functions and calculus are essential for creating models of the physical world. Statistics are used to describe and analyse phenomena involving probability, uncertainty and variation. Matrices, complex numbers and vectors are essential tools for explaining abstract or complex relationships that occur in scientific and technological endeavours.</w:t>
      </w:r>
    </w:p>
    <w:p w:rsidR="00AF468C" w:rsidRDefault="00F91BF4" w:rsidP="00AF468C">
      <w:pPr>
        <w:pStyle w:val="BodyText"/>
        <w:spacing w:before="120"/>
      </w:pPr>
      <w:r>
        <w:rPr>
          <w:noProof/>
        </w:rPr>
        <w:t>Student</w:t>
      </w:r>
      <w:r w:rsidR="001F1B4A">
        <w:rPr>
          <w:noProof/>
        </w:rPr>
        <w:t xml:space="preserve"> learning experiences range from </w:t>
      </w:r>
      <w:r w:rsidRPr="00F91BF4">
        <w:rPr>
          <w:noProof/>
        </w:rPr>
        <w:t>practising essential mathematical routines to develop</w:t>
      </w:r>
      <w:r>
        <w:rPr>
          <w:noProof/>
        </w:rPr>
        <w:t>ing</w:t>
      </w:r>
      <w:r w:rsidRPr="00F91BF4">
        <w:rPr>
          <w:noProof/>
        </w:rPr>
        <w:t xml:space="preserve"> procedural fluency, through to investigating scenarios, modelling the real world, solving problems and explaining reasoning.</w:t>
      </w:r>
    </w:p>
    <w:p w:rsidR="00AF468C" w:rsidRDefault="00AF468C" w:rsidP="00571DF3">
      <w:pPr>
        <w:pStyle w:val="Heading3"/>
        <w:spacing w:before="120"/>
      </w:pPr>
      <w:bookmarkStart w:id="131" w:name="_Toc16163512"/>
      <w:r>
        <w:t>Pathways</w:t>
      </w:r>
      <w:bookmarkEnd w:id="131"/>
    </w:p>
    <w:p w:rsidR="00AF468C" w:rsidRDefault="009A25F9" w:rsidP="009A25F9">
      <w:pPr>
        <w:pStyle w:val="BodyText"/>
        <w:spacing w:before="120"/>
        <w:rPr>
          <w:noProof/>
        </w:rPr>
      </w:pPr>
      <w:r w:rsidRPr="009A25F9">
        <w:rPr>
          <w:noProof/>
        </w:rPr>
        <w:t>A course of study in Specialist Mathematics can establish a basis for further education and employment in the fields of science, all branches of mathematics and statistics, computer science, medicine, engineering, finance and economics.</w:t>
      </w:r>
    </w:p>
    <w:p w:rsidR="00AF468C" w:rsidRDefault="00AF468C" w:rsidP="00AF468C">
      <w:pPr>
        <w:pStyle w:val="Heading3"/>
      </w:pPr>
      <w:bookmarkStart w:id="132" w:name="_Toc16163513"/>
      <w:r>
        <w:t>Objectives</w:t>
      </w:r>
      <w:bookmarkEnd w:id="132"/>
    </w:p>
    <w:p w:rsidR="009A25F9" w:rsidRDefault="009A25F9" w:rsidP="009A25F9">
      <w:pPr>
        <w:pStyle w:val="BodyText"/>
      </w:pPr>
      <w:r w:rsidRPr="009A25F9">
        <w:t>By the conclusion of the course of study, students will:</w:t>
      </w:r>
    </w:p>
    <w:p w:rsidR="009A25F9" w:rsidRDefault="009A25F9" w:rsidP="009A25F9">
      <w:pPr>
        <w:pStyle w:val="ListBullet0"/>
      </w:pPr>
      <w:r>
        <w:t>select, recall and use facts, rules, definitions and procedures drawn from Vectors and matrices, Real and complex numbers, Trigonometry, Statistics and Calculus</w:t>
      </w:r>
    </w:p>
    <w:p w:rsidR="009A25F9" w:rsidRDefault="009A25F9" w:rsidP="009A25F9">
      <w:pPr>
        <w:pStyle w:val="ListBullet0"/>
      </w:pPr>
      <w:r>
        <w:t>comprehend mathematical concepts and techniques drawn from Vectors and matrices, Real and complex numbers, Trigonometry, Statistics and Calculus</w:t>
      </w:r>
    </w:p>
    <w:p w:rsidR="009A25F9" w:rsidRDefault="009A25F9" w:rsidP="009A25F9">
      <w:pPr>
        <w:pStyle w:val="ListBullet0"/>
      </w:pPr>
      <w:r>
        <w:t>communicate using mathematical, statistical and everyday language and conventions</w:t>
      </w:r>
    </w:p>
    <w:p w:rsidR="009A25F9" w:rsidRDefault="009A25F9" w:rsidP="009A25F9">
      <w:pPr>
        <w:pStyle w:val="ListBullet0"/>
      </w:pPr>
      <w:r>
        <w:t>evaluate the reasonableness of solutions</w:t>
      </w:r>
    </w:p>
    <w:p w:rsidR="009A25F9" w:rsidRDefault="009A25F9" w:rsidP="009A25F9">
      <w:pPr>
        <w:pStyle w:val="ListBullet0"/>
      </w:pPr>
      <w:r>
        <w:t>justify procedures and decisions, and prove propositions by explaining mathematical reasoning</w:t>
      </w:r>
    </w:p>
    <w:p w:rsidR="009A25F9" w:rsidRDefault="009A25F9" w:rsidP="009A25F9">
      <w:pPr>
        <w:pStyle w:val="ListBullet0"/>
      </w:pPr>
      <w:r>
        <w:t>solve problems by applying mathematical concepts and techniques drawn from Vectors and matrices, Real and complex numbers, Trigonometry, Statistics and Calculus.</w:t>
      </w:r>
    </w:p>
    <w:p w:rsidR="00040BD4" w:rsidRPr="009A25F9" w:rsidRDefault="00040BD4" w:rsidP="00040BD4">
      <w:pPr>
        <w:pStyle w:val="ListBullet0"/>
        <w:numPr>
          <w:ilvl w:val="0"/>
          <w:numId w:val="0"/>
        </w:numPr>
        <w:ind w:left="284" w:hanging="284"/>
        <w:sectPr w:rsidR="00040BD4" w:rsidRPr="009A25F9" w:rsidSect="005F3A96">
          <w:type w:val="continuous"/>
          <w:pgSz w:w="11907" w:h="16840" w:code="9"/>
          <w:pgMar w:top="1134" w:right="1418" w:bottom="1701" w:left="1418" w:header="567" w:footer="284" w:gutter="0"/>
          <w:cols w:num="2" w:space="720"/>
          <w:formProt w:val="0"/>
          <w:noEndnote/>
          <w:docGrid w:linePitch="299"/>
        </w:sectPr>
      </w:pPr>
    </w:p>
    <w:p w:rsidR="003A1232" w:rsidRPr="00040BD4" w:rsidRDefault="003A1232" w:rsidP="00040BD4">
      <w:r w:rsidRPr="00040BD4">
        <w:br w:type="page"/>
      </w:r>
    </w:p>
    <w:p w:rsidR="00AF468C" w:rsidRDefault="00AF468C" w:rsidP="00AF468C">
      <w:pPr>
        <w:pStyle w:val="Heading3"/>
      </w:pPr>
      <w:bookmarkStart w:id="133" w:name="_Toc16163514"/>
      <w:r>
        <w:t>Structure</w:t>
      </w:r>
      <w:bookmarkEnd w:id="133"/>
    </w:p>
    <w:p w:rsidR="003A1232" w:rsidRPr="003A1232" w:rsidRDefault="003A1232" w:rsidP="003A1232">
      <w:pPr>
        <w:pStyle w:val="BodyText"/>
      </w:pPr>
      <w:r w:rsidRPr="003A1232">
        <w:t>Specialist Mathematics is to be undertaken in conjunction with, or on completion of, Mathematical Methods.</w:t>
      </w:r>
    </w:p>
    <w:tbl>
      <w:tblPr>
        <w:tblStyle w:val="QCAAtablestyle1"/>
        <w:tblW w:w="4900" w:type="pct"/>
        <w:tblLook w:val="04A0" w:firstRow="1" w:lastRow="0" w:firstColumn="1" w:lastColumn="0" w:noHBand="0" w:noVBand="1"/>
      </w:tblPr>
      <w:tblGrid>
        <w:gridCol w:w="2219"/>
        <w:gridCol w:w="2220"/>
        <w:gridCol w:w="2220"/>
        <w:gridCol w:w="2221"/>
      </w:tblGrid>
      <w:tr w:rsidR="00AF468C" w:rsidTr="00814E36">
        <w:trPr>
          <w:cnfStyle w:val="100000000000" w:firstRow="1" w:lastRow="0" w:firstColumn="0" w:lastColumn="0" w:oddVBand="0" w:evenVBand="0" w:oddHBand="0" w:evenHBand="0" w:firstRowFirstColumn="0" w:firstRowLastColumn="0" w:lastRowFirstColumn="0" w:lastRowLastColumn="0"/>
        </w:trPr>
        <w:tc>
          <w:tcPr>
            <w:tcW w:w="2219" w:type="dxa"/>
          </w:tcPr>
          <w:p w:rsidR="00AF468C" w:rsidRDefault="00AF468C" w:rsidP="006A4F57">
            <w:pPr>
              <w:pStyle w:val="TableHeading0"/>
            </w:pPr>
            <w:r>
              <w:t>Unit 1</w:t>
            </w:r>
          </w:p>
        </w:tc>
        <w:tc>
          <w:tcPr>
            <w:tcW w:w="2220" w:type="dxa"/>
          </w:tcPr>
          <w:p w:rsidR="00AF468C" w:rsidRDefault="00AF468C" w:rsidP="006A4F57">
            <w:pPr>
              <w:pStyle w:val="TableHeading0"/>
            </w:pPr>
            <w:r>
              <w:t>Unit 2</w:t>
            </w:r>
          </w:p>
        </w:tc>
        <w:tc>
          <w:tcPr>
            <w:tcW w:w="2220" w:type="dxa"/>
          </w:tcPr>
          <w:p w:rsidR="00AF468C" w:rsidRDefault="00AF468C" w:rsidP="006A4F57">
            <w:pPr>
              <w:pStyle w:val="TableHeading0"/>
            </w:pPr>
            <w:r>
              <w:t>Unit 3</w:t>
            </w:r>
          </w:p>
        </w:tc>
        <w:tc>
          <w:tcPr>
            <w:tcW w:w="2221" w:type="dxa"/>
          </w:tcPr>
          <w:p w:rsidR="00AF468C" w:rsidRDefault="00AF468C" w:rsidP="006A4F57">
            <w:pPr>
              <w:pStyle w:val="TableHeading0"/>
            </w:pPr>
            <w:r>
              <w:t>Unit 4</w:t>
            </w:r>
          </w:p>
        </w:tc>
      </w:tr>
      <w:tr w:rsidR="00AF468C" w:rsidTr="009A25F9">
        <w:tc>
          <w:tcPr>
            <w:tcW w:w="2219" w:type="dxa"/>
          </w:tcPr>
          <w:p w:rsidR="009A25F9" w:rsidRPr="009A25F9" w:rsidRDefault="009A25F9" w:rsidP="009A25F9">
            <w:pPr>
              <w:pStyle w:val="Tabletext"/>
              <w:rPr>
                <w:b/>
              </w:rPr>
            </w:pPr>
            <w:r w:rsidRPr="009A25F9">
              <w:rPr>
                <w:b/>
              </w:rPr>
              <w:t>Combinatorics, vectors and proof</w:t>
            </w:r>
          </w:p>
          <w:p w:rsidR="009A25F9" w:rsidRDefault="009A25F9" w:rsidP="009A25F9">
            <w:pPr>
              <w:pStyle w:val="TableBullet"/>
            </w:pPr>
            <w:r>
              <w:t>Combinatorics</w:t>
            </w:r>
          </w:p>
          <w:p w:rsidR="009A25F9" w:rsidRDefault="009A25F9" w:rsidP="009A25F9">
            <w:pPr>
              <w:pStyle w:val="TableBullet"/>
            </w:pPr>
            <w:r>
              <w:t>Vectors in the plane</w:t>
            </w:r>
          </w:p>
          <w:p w:rsidR="00AF468C" w:rsidRDefault="009A25F9" w:rsidP="009A25F9">
            <w:pPr>
              <w:pStyle w:val="TableBullet"/>
            </w:pPr>
            <w:r>
              <w:t>Introduction to proof</w:t>
            </w:r>
          </w:p>
        </w:tc>
        <w:tc>
          <w:tcPr>
            <w:tcW w:w="2220" w:type="dxa"/>
          </w:tcPr>
          <w:p w:rsidR="009A25F9" w:rsidRPr="009A25F9" w:rsidRDefault="009A25F9" w:rsidP="009A25F9">
            <w:pPr>
              <w:pStyle w:val="Tabletext"/>
              <w:rPr>
                <w:b/>
              </w:rPr>
            </w:pPr>
            <w:r w:rsidRPr="009A25F9">
              <w:rPr>
                <w:b/>
              </w:rPr>
              <w:t>Complex numbers, trigonometry, functions and matrices</w:t>
            </w:r>
          </w:p>
          <w:p w:rsidR="009A25F9" w:rsidRDefault="009A25F9" w:rsidP="009A25F9">
            <w:pPr>
              <w:pStyle w:val="TableBullet"/>
            </w:pPr>
            <w:r>
              <w:t>Complex numbers 1</w:t>
            </w:r>
          </w:p>
          <w:p w:rsidR="009A25F9" w:rsidRDefault="009A25F9" w:rsidP="009A25F9">
            <w:pPr>
              <w:pStyle w:val="TableBullet"/>
            </w:pPr>
            <w:r>
              <w:t>Trigonometry and functions</w:t>
            </w:r>
          </w:p>
          <w:p w:rsidR="00AF468C" w:rsidRDefault="009A25F9" w:rsidP="009A25F9">
            <w:pPr>
              <w:pStyle w:val="TableBullet"/>
            </w:pPr>
            <w:r>
              <w:t>Matrices</w:t>
            </w:r>
          </w:p>
        </w:tc>
        <w:tc>
          <w:tcPr>
            <w:tcW w:w="2220" w:type="dxa"/>
            <w:shd w:val="clear" w:color="auto" w:fill="auto"/>
          </w:tcPr>
          <w:p w:rsidR="009A25F9" w:rsidRPr="009A25F9" w:rsidRDefault="009A25F9" w:rsidP="009A25F9">
            <w:pPr>
              <w:pStyle w:val="Tabletext"/>
              <w:rPr>
                <w:b/>
              </w:rPr>
            </w:pPr>
            <w:r w:rsidRPr="009A25F9">
              <w:rPr>
                <w:b/>
              </w:rPr>
              <w:t>Mathematical induction, and further vectors, matrices and complex numbers</w:t>
            </w:r>
          </w:p>
          <w:p w:rsidR="009A25F9" w:rsidRDefault="009A25F9" w:rsidP="009A25F9">
            <w:pPr>
              <w:pStyle w:val="TableBullet"/>
            </w:pPr>
            <w:r>
              <w:t>Proof by mathematical induction</w:t>
            </w:r>
          </w:p>
          <w:p w:rsidR="009A25F9" w:rsidRDefault="009A25F9" w:rsidP="009A25F9">
            <w:pPr>
              <w:pStyle w:val="TableBullet"/>
            </w:pPr>
            <w:r>
              <w:t>Vectors and matrices</w:t>
            </w:r>
          </w:p>
          <w:p w:rsidR="00AF468C" w:rsidRDefault="009A25F9" w:rsidP="009A25F9">
            <w:pPr>
              <w:pStyle w:val="TableBullet"/>
            </w:pPr>
            <w:r>
              <w:t>Complex numbers 2</w:t>
            </w:r>
          </w:p>
        </w:tc>
        <w:tc>
          <w:tcPr>
            <w:tcW w:w="2221" w:type="dxa"/>
            <w:shd w:val="clear" w:color="auto" w:fill="auto"/>
          </w:tcPr>
          <w:p w:rsidR="009A25F9" w:rsidRPr="009A25F9" w:rsidRDefault="009A25F9" w:rsidP="009A25F9">
            <w:pPr>
              <w:pStyle w:val="Tabletext"/>
              <w:rPr>
                <w:b/>
              </w:rPr>
            </w:pPr>
            <w:r w:rsidRPr="009A25F9">
              <w:rPr>
                <w:b/>
              </w:rPr>
              <w:t>Further statistical and calculus inference</w:t>
            </w:r>
          </w:p>
          <w:p w:rsidR="009A25F9" w:rsidRDefault="009A25F9" w:rsidP="009A25F9">
            <w:pPr>
              <w:pStyle w:val="TableBullet"/>
            </w:pPr>
            <w:r>
              <w:t>Integration and applications of integration</w:t>
            </w:r>
          </w:p>
          <w:p w:rsidR="009A25F9" w:rsidRDefault="009A25F9" w:rsidP="009A25F9">
            <w:pPr>
              <w:pStyle w:val="TableBullet"/>
            </w:pPr>
            <w:r>
              <w:t>Rates of change and differential equations</w:t>
            </w:r>
          </w:p>
          <w:p w:rsidR="00AF468C" w:rsidRDefault="009A25F9" w:rsidP="009A25F9">
            <w:pPr>
              <w:pStyle w:val="TableBullet"/>
            </w:pPr>
            <w:r>
              <w:t>Statistical inference</w:t>
            </w:r>
          </w:p>
        </w:tc>
      </w:tr>
    </w:tbl>
    <w:p w:rsidR="00814E36" w:rsidRDefault="00814E36" w:rsidP="00814E36">
      <w:pPr>
        <w:pStyle w:val="Heading3"/>
      </w:pPr>
      <w:bookmarkStart w:id="134" w:name="_Toc16163515"/>
      <w:r>
        <w:t>Assessment</w:t>
      </w:r>
      <w:bookmarkEnd w:id="134"/>
    </w:p>
    <w:p w:rsidR="00B735D3" w:rsidRDefault="00B735D3" w:rsidP="00B735D3">
      <w:pPr>
        <w:pStyle w:val="BodyText"/>
      </w:pPr>
      <w:r>
        <w:t>S</w:t>
      </w:r>
      <w:r w:rsidRPr="008C3C06">
        <w:t>chools devise assessment</w:t>
      </w:r>
      <w:r>
        <w:t>s</w:t>
      </w:r>
      <w:r w:rsidRPr="008C3C06">
        <w:t xml:space="preserve"> </w:t>
      </w:r>
      <w:r>
        <w:t>i</w:t>
      </w:r>
      <w:r w:rsidRPr="008C3C06">
        <w:t>n Units 1 and 2 to suit their local context.</w:t>
      </w:r>
      <w:r>
        <w:t xml:space="preserve"> </w:t>
      </w:r>
    </w:p>
    <w:p w:rsidR="00B735D3" w:rsidRDefault="00B735D3" w:rsidP="00B735D3">
      <w:pPr>
        <w:pStyle w:val="BodyText"/>
      </w:pPr>
      <w:r>
        <w:t>I</w:t>
      </w:r>
      <w:r w:rsidRPr="008C3C06">
        <w:t xml:space="preserve">n Units 3 and 4 </w:t>
      </w:r>
      <w:r>
        <w:t>s</w:t>
      </w:r>
      <w:r w:rsidRPr="008C3C06">
        <w:t>tudents complete four summative assessments</w:t>
      </w:r>
      <w:r>
        <w:t>. The results from each of the assessments are added together to provi</w:t>
      </w:r>
      <w:r w:rsidR="008C2D83">
        <w:t xml:space="preserve">de a subject score out of 100. </w:t>
      </w:r>
      <w:r>
        <w:t>Students will also receive an overall subject result (</w:t>
      </w:r>
      <w:r w:rsidR="003A1232">
        <w:t>A–E</w:t>
      </w:r>
      <w:r>
        <w:t>).</w:t>
      </w:r>
    </w:p>
    <w:p w:rsidR="00814E36" w:rsidRDefault="000D2D7A" w:rsidP="004C0D66">
      <w:pPr>
        <w:pStyle w:val="Caption"/>
        <w:rPr>
          <w:noProof/>
        </w:rPr>
      </w:pPr>
      <w:r>
        <w:t>Summative assessments</w:t>
      </w:r>
    </w:p>
    <w:tbl>
      <w:tblPr>
        <w:tblStyle w:val="QCAAtablestyle1"/>
        <w:tblW w:w="4900" w:type="pct"/>
        <w:tblLayout w:type="fixed"/>
        <w:tblLook w:val="04A0" w:firstRow="1" w:lastRow="0" w:firstColumn="1" w:lastColumn="0" w:noHBand="0" w:noVBand="1"/>
      </w:tblPr>
      <w:tblGrid>
        <w:gridCol w:w="3805"/>
        <w:gridCol w:w="705"/>
        <w:gridCol w:w="3664"/>
        <w:gridCol w:w="706"/>
      </w:tblGrid>
      <w:tr w:rsidR="004A570C" w:rsidTr="004C0D66">
        <w:trPr>
          <w:cnfStyle w:val="100000000000" w:firstRow="1" w:lastRow="0" w:firstColumn="0" w:lastColumn="0" w:oddVBand="0" w:evenVBand="0" w:oddHBand="0" w:evenHBand="0" w:firstRowFirstColumn="0" w:firstRowLastColumn="0" w:lastRowFirstColumn="0" w:lastRowLastColumn="0"/>
        </w:trPr>
        <w:tc>
          <w:tcPr>
            <w:tcW w:w="4536" w:type="dxa"/>
            <w:gridSpan w:val="2"/>
          </w:tcPr>
          <w:p w:rsidR="004A570C" w:rsidRDefault="004A570C" w:rsidP="006B7BA8">
            <w:pPr>
              <w:pStyle w:val="Tableheading"/>
            </w:pPr>
            <w:bookmarkStart w:id="135" w:name="_Hlk493578111"/>
            <w:r>
              <w:t>Unit 3</w:t>
            </w:r>
          </w:p>
        </w:tc>
        <w:tc>
          <w:tcPr>
            <w:tcW w:w="4395" w:type="dxa"/>
            <w:gridSpan w:val="2"/>
          </w:tcPr>
          <w:p w:rsidR="004A570C" w:rsidRDefault="004A570C" w:rsidP="006B7BA8">
            <w:pPr>
              <w:pStyle w:val="Tableheading"/>
            </w:pPr>
            <w:r>
              <w:t>Unit 4</w:t>
            </w:r>
          </w:p>
        </w:tc>
      </w:tr>
      <w:tr w:rsidR="004A570C" w:rsidTr="004C0D66">
        <w:tc>
          <w:tcPr>
            <w:tcW w:w="3828" w:type="dxa"/>
          </w:tcPr>
          <w:p w:rsidR="004A570C" w:rsidRDefault="004A570C" w:rsidP="006B7BA8">
            <w:pPr>
              <w:pStyle w:val="Tabletext"/>
            </w:pPr>
            <w:r>
              <w:t xml:space="preserve">Summative internal assessment 1 (IA1): </w:t>
            </w:r>
          </w:p>
          <w:p w:rsidR="004A570C" w:rsidRDefault="004A570C" w:rsidP="006B7BA8">
            <w:pPr>
              <w:pStyle w:val="TableBullet"/>
            </w:pPr>
            <w:r>
              <w:t>Problem-solving and modelling task</w:t>
            </w:r>
          </w:p>
        </w:tc>
        <w:tc>
          <w:tcPr>
            <w:tcW w:w="0" w:type="dxa"/>
          </w:tcPr>
          <w:p w:rsidR="004A570C" w:rsidRDefault="004A570C" w:rsidP="006B7BA8">
            <w:pPr>
              <w:pStyle w:val="Tabletext"/>
            </w:pPr>
            <w:r>
              <w:t>20%</w:t>
            </w:r>
          </w:p>
        </w:tc>
        <w:tc>
          <w:tcPr>
            <w:tcW w:w="3686" w:type="dxa"/>
            <w:vMerge w:val="restart"/>
          </w:tcPr>
          <w:p w:rsidR="004A570C" w:rsidRDefault="004A570C" w:rsidP="006B7BA8">
            <w:pPr>
              <w:pStyle w:val="Tabletext"/>
            </w:pPr>
            <w:r>
              <w:t xml:space="preserve">Summative internal assessment 3 (IA3): </w:t>
            </w:r>
          </w:p>
          <w:p w:rsidR="004A570C" w:rsidRDefault="004A570C" w:rsidP="006B7BA8">
            <w:pPr>
              <w:pStyle w:val="TableBullet"/>
            </w:pPr>
            <w:r>
              <w:t>Examination</w:t>
            </w:r>
          </w:p>
        </w:tc>
        <w:tc>
          <w:tcPr>
            <w:tcW w:w="709" w:type="dxa"/>
            <w:vMerge w:val="restart"/>
          </w:tcPr>
          <w:p w:rsidR="004A570C" w:rsidRDefault="004A570C" w:rsidP="006B7BA8">
            <w:pPr>
              <w:pStyle w:val="Tabletext"/>
            </w:pPr>
            <w:r>
              <w:t>15%</w:t>
            </w:r>
          </w:p>
        </w:tc>
      </w:tr>
      <w:tr w:rsidR="004A570C" w:rsidTr="004C0D66">
        <w:tc>
          <w:tcPr>
            <w:tcW w:w="3828" w:type="dxa"/>
          </w:tcPr>
          <w:p w:rsidR="004A570C" w:rsidRDefault="004A570C" w:rsidP="006B7BA8">
            <w:pPr>
              <w:pStyle w:val="Tabletext"/>
            </w:pPr>
            <w:r>
              <w:t>Summativ</w:t>
            </w:r>
            <w:r w:rsidR="008C2D83">
              <w:t xml:space="preserve">e internal assessment 2 (IA2): </w:t>
            </w:r>
          </w:p>
          <w:p w:rsidR="004A570C" w:rsidRDefault="004A570C" w:rsidP="006B7BA8">
            <w:pPr>
              <w:pStyle w:val="TableBullet"/>
            </w:pPr>
            <w:r>
              <w:t>Examination</w:t>
            </w:r>
          </w:p>
        </w:tc>
        <w:tc>
          <w:tcPr>
            <w:tcW w:w="0" w:type="dxa"/>
          </w:tcPr>
          <w:p w:rsidR="004A570C" w:rsidRDefault="004A570C" w:rsidP="006B7BA8">
            <w:pPr>
              <w:pStyle w:val="Tabletext"/>
            </w:pPr>
            <w:r>
              <w:t>15%</w:t>
            </w:r>
          </w:p>
        </w:tc>
        <w:tc>
          <w:tcPr>
            <w:tcW w:w="3686" w:type="dxa"/>
            <w:vMerge/>
          </w:tcPr>
          <w:p w:rsidR="004A570C" w:rsidRDefault="004A570C" w:rsidP="006B7BA8">
            <w:pPr>
              <w:pStyle w:val="TableBullet"/>
            </w:pPr>
          </w:p>
        </w:tc>
        <w:tc>
          <w:tcPr>
            <w:tcW w:w="709" w:type="dxa"/>
            <w:vMerge/>
          </w:tcPr>
          <w:p w:rsidR="004A570C" w:rsidRDefault="004A570C" w:rsidP="006B7BA8">
            <w:pPr>
              <w:pStyle w:val="Tabletext"/>
            </w:pPr>
          </w:p>
        </w:tc>
      </w:tr>
      <w:tr w:rsidR="00EB76BB" w:rsidTr="004C0D66">
        <w:tc>
          <w:tcPr>
            <w:tcW w:w="8931" w:type="dxa"/>
            <w:gridSpan w:val="4"/>
          </w:tcPr>
          <w:p w:rsidR="00EB76BB" w:rsidRDefault="00EB76BB" w:rsidP="00D5573C">
            <w:pPr>
              <w:pStyle w:val="Tabletext"/>
              <w:jc w:val="center"/>
            </w:pPr>
            <w:r>
              <w:t>Summative external assessment (EA): 50%</w:t>
            </w:r>
          </w:p>
          <w:p w:rsidR="00EB76BB" w:rsidRDefault="00EB76BB" w:rsidP="00D5573C">
            <w:pPr>
              <w:pStyle w:val="TableBullet"/>
              <w:jc w:val="center"/>
            </w:pPr>
            <w:r>
              <w:t>Examination</w:t>
            </w:r>
          </w:p>
        </w:tc>
      </w:tr>
      <w:bookmarkEnd w:id="135"/>
    </w:tbl>
    <w:p w:rsidR="00814E36" w:rsidRDefault="00814E36" w:rsidP="00814E36"/>
    <w:p w:rsidR="00814E36" w:rsidRDefault="00814E36">
      <w:r>
        <w:br w:type="page"/>
      </w:r>
    </w:p>
    <w:tbl>
      <w:tblPr>
        <w:tblStyle w:val="TextLayout"/>
        <w:tblW w:w="5650" w:type="pct"/>
        <w:tblInd w:w="-170" w:type="dxa"/>
        <w:tblLayout w:type="fixed"/>
        <w:tblLook w:val="04A0" w:firstRow="1" w:lastRow="0" w:firstColumn="1" w:lastColumn="0" w:noHBand="0" w:noVBand="1"/>
      </w:tblPr>
      <w:tblGrid>
        <w:gridCol w:w="141"/>
        <w:gridCol w:w="9264"/>
        <w:gridCol w:w="845"/>
      </w:tblGrid>
      <w:tr w:rsidR="00302679" w:rsidRPr="003B6F39" w:rsidTr="00BE0C34">
        <w:trPr>
          <w:trHeight w:hRule="exact" w:val="851"/>
        </w:trPr>
        <w:tc>
          <w:tcPr>
            <w:tcW w:w="142" w:type="dxa"/>
            <w:shd w:val="clear" w:color="auto" w:fill="F26A21"/>
          </w:tcPr>
          <w:p w:rsidR="00302679" w:rsidRDefault="00302679" w:rsidP="00BE0C34">
            <w:pPr>
              <w:pStyle w:val="Tabletext"/>
            </w:pPr>
          </w:p>
        </w:tc>
        <w:tc>
          <w:tcPr>
            <w:tcW w:w="9323" w:type="dxa"/>
            <w:tcMar>
              <w:left w:w="57" w:type="dxa"/>
            </w:tcMar>
            <w:vAlign w:val="center"/>
          </w:tcPr>
          <w:p w:rsidR="00302679" w:rsidRDefault="00302679" w:rsidP="00CD2D5C">
            <w:pPr>
              <w:pStyle w:val="SubjectHeading"/>
            </w:pPr>
            <w:r>
              <w:t>Essential Mathematics</w:t>
            </w:r>
          </w:p>
          <w:p w:rsidR="00302679" w:rsidRPr="00E86C01" w:rsidRDefault="00302679" w:rsidP="00302679">
            <w:pPr>
              <w:pStyle w:val="Heading3"/>
              <w:spacing w:before="0" w:after="0"/>
            </w:pPr>
            <w:bookmarkStart w:id="136" w:name="_Toc16163516"/>
            <w:r>
              <w:t>Applied senior subject</w:t>
            </w:r>
            <w:bookmarkEnd w:id="136"/>
          </w:p>
        </w:tc>
        <w:tc>
          <w:tcPr>
            <w:tcW w:w="850" w:type="dxa"/>
            <w:shd w:val="clear" w:color="auto" w:fill="F26A21"/>
            <w:tcMar>
              <w:bottom w:w="28" w:type="dxa"/>
              <w:right w:w="57" w:type="dxa"/>
            </w:tcMar>
            <w:vAlign w:val="bottom"/>
          </w:tcPr>
          <w:p w:rsidR="00302679" w:rsidRPr="00E86C01" w:rsidRDefault="00302679" w:rsidP="00302679">
            <w:pPr>
              <w:pStyle w:val="Heading3"/>
              <w:spacing w:before="0" w:after="100" w:afterAutospacing="1"/>
              <w:jc w:val="right"/>
              <w:rPr>
                <w:color w:val="FFFFFF" w:themeColor="background1"/>
                <w:sz w:val="17"/>
                <w:szCs w:val="17"/>
              </w:rPr>
            </w:pPr>
            <w:bookmarkStart w:id="137" w:name="_Toc16163517"/>
            <w:r>
              <w:rPr>
                <w:color w:val="FFFFFF" w:themeColor="background1"/>
                <w:sz w:val="17"/>
                <w:szCs w:val="17"/>
              </w:rPr>
              <w:t>Applied</w:t>
            </w:r>
            <w:bookmarkEnd w:id="137"/>
          </w:p>
        </w:tc>
      </w:tr>
      <w:tr w:rsidR="004D730A" w:rsidRPr="003B6F39" w:rsidTr="004D730A">
        <w:trPr>
          <w:trHeight w:hRule="exact" w:val="113"/>
        </w:trPr>
        <w:tc>
          <w:tcPr>
            <w:tcW w:w="10315" w:type="dxa"/>
            <w:gridSpan w:val="3"/>
            <w:shd w:val="clear" w:color="auto" w:fill="auto"/>
          </w:tcPr>
          <w:p w:rsidR="004D730A" w:rsidRDefault="004D730A" w:rsidP="004D730A">
            <w:pPr>
              <w:pStyle w:val="Heading3"/>
              <w:spacing w:before="0" w:after="100" w:afterAutospacing="1"/>
              <w:rPr>
                <w:color w:val="FFFFFF" w:themeColor="background1"/>
                <w:sz w:val="17"/>
                <w:szCs w:val="17"/>
              </w:rPr>
            </w:pPr>
          </w:p>
        </w:tc>
      </w:tr>
    </w:tbl>
    <w:p w:rsidR="00E152C6" w:rsidRDefault="00E152C6" w:rsidP="00F606DE">
      <w:pPr>
        <w:pStyle w:val="BodyText"/>
        <w:spacing w:before="120"/>
        <w:rPr>
          <w:noProof/>
        </w:rPr>
        <w:sectPr w:rsidR="00E152C6" w:rsidSect="007124FA">
          <w:type w:val="continuous"/>
          <w:pgSz w:w="11907" w:h="16840" w:code="9"/>
          <w:pgMar w:top="1134" w:right="1418" w:bottom="1701" w:left="1418" w:header="567" w:footer="284" w:gutter="0"/>
          <w:cols w:space="720"/>
          <w:formProt w:val="0"/>
          <w:noEndnote/>
          <w:docGrid w:linePitch="299"/>
        </w:sectPr>
      </w:pPr>
    </w:p>
    <w:p w:rsidR="009F4F4D" w:rsidRDefault="00815C44" w:rsidP="00F606DE">
      <w:pPr>
        <w:pStyle w:val="BodyText"/>
        <w:spacing w:before="120"/>
        <w:rPr>
          <w:noProof/>
        </w:rPr>
      </w:pPr>
      <w:r>
        <w:rPr>
          <w:noProof/>
        </w:rPr>
        <w:t>Essential Mat</w:t>
      </w:r>
      <w:r w:rsidR="00D446CF">
        <w:rPr>
          <w:noProof/>
        </w:rPr>
        <w:t>he</w:t>
      </w:r>
      <w:r>
        <w:rPr>
          <w:noProof/>
        </w:rPr>
        <w:t xml:space="preserve">matics’ </w:t>
      </w:r>
      <w:r w:rsidRPr="00815C44">
        <w:rPr>
          <w:noProof/>
        </w:rPr>
        <w:t xml:space="preserve">major domains are Number, Data, Location and time, Measurement and Finance. </w:t>
      </w:r>
    </w:p>
    <w:p w:rsidR="009F4F4D" w:rsidRDefault="009F4F4D" w:rsidP="009F4F4D">
      <w:pPr>
        <w:pStyle w:val="BodyText"/>
        <w:spacing w:before="120"/>
        <w:rPr>
          <w:noProof/>
        </w:rPr>
      </w:pPr>
      <w:r w:rsidRPr="00815C44">
        <w:rPr>
          <w:noProof/>
        </w:rPr>
        <w:t xml:space="preserve">Essential Mathematics </w:t>
      </w:r>
      <w:r>
        <w:rPr>
          <w:noProof/>
        </w:rPr>
        <w:t>ben</w:t>
      </w:r>
      <w:r w:rsidR="00A41880">
        <w:rPr>
          <w:noProof/>
        </w:rPr>
        <w:t>e</w:t>
      </w:r>
      <w:r>
        <w:rPr>
          <w:noProof/>
        </w:rPr>
        <w:t xml:space="preserve">fits students </w:t>
      </w:r>
      <w:r w:rsidRPr="00815C44">
        <w:rPr>
          <w:noProof/>
        </w:rPr>
        <w:t>because they develop skills that go beyond the traditional ideas of numeracy.</w:t>
      </w:r>
    </w:p>
    <w:p w:rsidR="00815C44" w:rsidRDefault="00815C44" w:rsidP="00F606DE">
      <w:pPr>
        <w:pStyle w:val="BodyText"/>
        <w:spacing w:before="120"/>
        <w:rPr>
          <w:noProof/>
        </w:rPr>
      </w:pPr>
      <w:r w:rsidRPr="00815C44">
        <w:rPr>
          <w:noProof/>
        </w:rPr>
        <w:t>Students develop their conceptual understanding when they undertake tasks that require them to connect mathematical concepts, operations and relations. They learn to recognise definitions, rules and facts from everyday mathematics and data, and to calculate using appropriate mathematical processes.</w:t>
      </w:r>
    </w:p>
    <w:p w:rsidR="00815C44" w:rsidRDefault="005B3614" w:rsidP="00F606DE">
      <w:pPr>
        <w:pStyle w:val="BodyText"/>
        <w:spacing w:before="120"/>
        <w:rPr>
          <w:noProof/>
        </w:rPr>
      </w:pPr>
      <w:r>
        <w:rPr>
          <w:noProof/>
        </w:rPr>
        <w:t xml:space="preserve">Students </w:t>
      </w:r>
      <w:r w:rsidRPr="00815C44">
        <w:rPr>
          <w:noProof/>
        </w:rPr>
        <w:t>interpret and use mathematics to make informed predictions and decisions about personal and financial priorities.</w:t>
      </w:r>
      <w:r>
        <w:rPr>
          <w:noProof/>
        </w:rPr>
        <w:t xml:space="preserve"> </w:t>
      </w:r>
      <w:r w:rsidR="00815C44" w:rsidRPr="00815C44">
        <w:rPr>
          <w:noProof/>
        </w:rPr>
        <w:t>This is achieved through a</w:t>
      </w:r>
      <w:r w:rsidR="00C23592">
        <w:rPr>
          <w:noProof/>
        </w:rPr>
        <w:t>n</w:t>
      </w:r>
      <w:r w:rsidR="00B64728">
        <w:rPr>
          <w:noProof/>
        </w:rPr>
        <w:t xml:space="preserve"> </w:t>
      </w:r>
      <w:r w:rsidR="00815C44" w:rsidRPr="00815C44">
        <w:rPr>
          <w:noProof/>
        </w:rPr>
        <w:t>emphasis on estimation, problem-solving and reasoning, which develops students into thinking citizens</w:t>
      </w:r>
      <w:r>
        <w:rPr>
          <w:noProof/>
        </w:rPr>
        <w:t>.</w:t>
      </w:r>
      <w:r w:rsidR="00815C44" w:rsidRPr="00815C44">
        <w:rPr>
          <w:noProof/>
        </w:rPr>
        <w:t xml:space="preserve"> </w:t>
      </w:r>
    </w:p>
    <w:p w:rsidR="00F606DE" w:rsidRDefault="00F606DE" w:rsidP="00F606DE">
      <w:pPr>
        <w:pStyle w:val="Heading3"/>
      </w:pPr>
      <w:bookmarkStart w:id="138" w:name="_Toc16163518"/>
      <w:r>
        <w:t>Pathways</w:t>
      </w:r>
      <w:bookmarkEnd w:id="138"/>
    </w:p>
    <w:p w:rsidR="00F606DE" w:rsidRDefault="00E152C6" w:rsidP="008C3C06">
      <w:pPr>
        <w:pStyle w:val="BodyText"/>
        <w:rPr>
          <w:noProof/>
        </w:rPr>
      </w:pPr>
      <w:r w:rsidRPr="008C3C06">
        <w:t>A course of study in Essential Mathematics can establish a basis for further education and employment in the fields of trade, industry, business and community services. Students learn within a practical context related to general employment and successful participation in society, drawing on the mathematics used by various professional and industry groups.</w:t>
      </w:r>
    </w:p>
    <w:p w:rsidR="00F606DE" w:rsidRDefault="00F606DE" w:rsidP="00F606DE">
      <w:pPr>
        <w:pStyle w:val="Heading3"/>
      </w:pPr>
      <w:bookmarkStart w:id="139" w:name="_Toc16163519"/>
      <w:r>
        <w:t>Objectives</w:t>
      </w:r>
      <w:bookmarkEnd w:id="139"/>
    </w:p>
    <w:p w:rsidR="00815C44" w:rsidRPr="008C3C06" w:rsidRDefault="00815C44" w:rsidP="008C3C06">
      <w:pPr>
        <w:pStyle w:val="BodyText"/>
      </w:pPr>
      <w:r w:rsidRPr="008C3C06">
        <w:t>By the conclusion of the course of study, students will:</w:t>
      </w:r>
    </w:p>
    <w:p w:rsidR="00815C44" w:rsidRDefault="00815C44" w:rsidP="008C3C06">
      <w:pPr>
        <w:pStyle w:val="ListBullet0"/>
        <w:rPr>
          <w:noProof/>
        </w:rPr>
      </w:pPr>
      <w:r>
        <w:rPr>
          <w:noProof/>
        </w:rPr>
        <w:t>select, recall and use facts, rules, definitions and procedures drawn from Number, Data, Location and time, Measurement and Finance</w:t>
      </w:r>
    </w:p>
    <w:p w:rsidR="00815C44" w:rsidRDefault="00815C44" w:rsidP="008C3C06">
      <w:pPr>
        <w:pStyle w:val="ListBullet0"/>
        <w:rPr>
          <w:noProof/>
        </w:rPr>
      </w:pPr>
      <w:r>
        <w:rPr>
          <w:noProof/>
        </w:rPr>
        <w:t>comprehend mathematical concepts and techniques drawn from Number, Data, Location and time, Measurement and Finance</w:t>
      </w:r>
    </w:p>
    <w:p w:rsidR="00815C44" w:rsidRDefault="00815C44" w:rsidP="008C3C06">
      <w:pPr>
        <w:pStyle w:val="ListBullet0"/>
        <w:rPr>
          <w:noProof/>
        </w:rPr>
      </w:pPr>
      <w:r>
        <w:rPr>
          <w:noProof/>
        </w:rPr>
        <w:t>communicate using mathematical, statistical and everyday language and conventions</w:t>
      </w:r>
    </w:p>
    <w:p w:rsidR="00815C44" w:rsidRDefault="00815C44" w:rsidP="008C3C06">
      <w:pPr>
        <w:pStyle w:val="ListBullet0"/>
        <w:rPr>
          <w:noProof/>
        </w:rPr>
      </w:pPr>
      <w:r>
        <w:rPr>
          <w:noProof/>
        </w:rPr>
        <w:t>evaluate the reasonableness of solutions</w:t>
      </w:r>
    </w:p>
    <w:p w:rsidR="00815C44" w:rsidRDefault="00815C44" w:rsidP="008C3C06">
      <w:pPr>
        <w:pStyle w:val="ListBullet0"/>
        <w:rPr>
          <w:noProof/>
        </w:rPr>
      </w:pPr>
      <w:r>
        <w:rPr>
          <w:noProof/>
        </w:rPr>
        <w:t>justify procedures and decisions by explaining mathematical reasoning</w:t>
      </w:r>
    </w:p>
    <w:p w:rsidR="00815C44" w:rsidRDefault="00815C44" w:rsidP="008C3C06">
      <w:pPr>
        <w:pStyle w:val="ListBullet0"/>
        <w:rPr>
          <w:noProof/>
        </w:rPr>
      </w:pPr>
      <w:r>
        <w:rPr>
          <w:noProof/>
        </w:rPr>
        <w:t>solve problems by applying mathematical concepts and techniques drawn from Number, Data, Location and time, Measurement and Finance.</w:t>
      </w:r>
    </w:p>
    <w:p w:rsidR="00E152C6" w:rsidRDefault="00E152C6" w:rsidP="00F606DE">
      <w:pPr>
        <w:pStyle w:val="Heading3"/>
        <w:sectPr w:rsidR="00E152C6" w:rsidSect="008C3C06">
          <w:type w:val="continuous"/>
          <w:pgSz w:w="11907" w:h="16840" w:code="9"/>
          <w:pgMar w:top="1134" w:right="1418" w:bottom="1701" w:left="1418" w:header="567" w:footer="284" w:gutter="0"/>
          <w:cols w:num="2" w:space="720"/>
          <w:formProt w:val="0"/>
          <w:noEndnote/>
          <w:docGrid w:linePitch="299"/>
        </w:sectPr>
      </w:pPr>
    </w:p>
    <w:p w:rsidR="00571DF3" w:rsidRPr="00571DF3" w:rsidRDefault="00571DF3" w:rsidP="00571DF3"/>
    <w:p w:rsidR="00F606DE" w:rsidRDefault="00F606DE" w:rsidP="004C0D66">
      <w:pPr>
        <w:pStyle w:val="Heading3"/>
      </w:pPr>
      <w:bookmarkStart w:id="140" w:name="_Toc16163520"/>
      <w:r>
        <w:t>Structure</w:t>
      </w:r>
      <w:bookmarkEnd w:id="140"/>
    </w:p>
    <w:tbl>
      <w:tblPr>
        <w:tblStyle w:val="QCAAtablestyle1"/>
        <w:tblW w:w="4900" w:type="pct"/>
        <w:tblLook w:val="04A0" w:firstRow="1" w:lastRow="0" w:firstColumn="1" w:lastColumn="0" w:noHBand="0" w:noVBand="1"/>
      </w:tblPr>
      <w:tblGrid>
        <w:gridCol w:w="2221"/>
        <w:gridCol w:w="2218"/>
        <w:gridCol w:w="2222"/>
        <w:gridCol w:w="2219"/>
      </w:tblGrid>
      <w:tr w:rsidR="00F606DE" w:rsidTr="00F606DE">
        <w:trPr>
          <w:cnfStyle w:val="100000000000" w:firstRow="1" w:lastRow="0" w:firstColumn="0" w:lastColumn="0" w:oddVBand="0" w:evenVBand="0" w:oddHBand="0" w:evenHBand="0" w:firstRowFirstColumn="0" w:firstRowLastColumn="0" w:lastRowFirstColumn="0" w:lastRowLastColumn="0"/>
        </w:trPr>
        <w:tc>
          <w:tcPr>
            <w:tcW w:w="2275" w:type="dxa"/>
          </w:tcPr>
          <w:p w:rsidR="00F606DE" w:rsidRPr="00E152C6" w:rsidRDefault="00F606DE" w:rsidP="008C3C06">
            <w:pPr>
              <w:pStyle w:val="Tableheading"/>
            </w:pPr>
            <w:r w:rsidRPr="00E152C6">
              <w:t>Unit 1</w:t>
            </w:r>
          </w:p>
        </w:tc>
        <w:tc>
          <w:tcPr>
            <w:tcW w:w="2275" w:type="dxa"/>
          </w:tcPr>
          <w:p w:rsidR="00F606DE" w:rsidRPr="00E152C6" w:rsidRDefault="00F606DE" w:rsidP="008C3C06">
            <w:pPr>
              <w:pStyle w:val="Tableheading"/>
            </w:pPr>
            <w:r w:rsidRPr="00E152C6">
              <w:t>Unit 2</w:t>
            </w:r>
          </w:p>
        </w:tc>
        <w:tc>
          <w:tcPr>
            <w:tcW w:w="2275" w:type="dxa"/>
          </w:tcPr>
          <w:p w:rsidR="00F606DE" w:rsidRPr="00E152C6" w:rsidRDefault="00F606DE" w:rsidP="008C3C06">
            <w:pPr>
              <w:pStyle w:val="Tableheading"/>
            </w:pPr>
            <w:r w:rsidRPr="00E152C6">
              <w:t>Unit 3</w:t>
            </w:r>
          </w:p>
        </w:tc>
        <w:tc>
          <w:tcPr>
            <w:tcW w:w="2276" w:type="dxa"/>
          </w:tcPr>
          <w:p w:rsidR="00F606DE" w:rsidRPr="00E152C6" w:rsidRDefault="00F606DE" w:rsidP="008C3C06">
            <w:pPr>
              <w:pStyle w:val="Tableheading"/>
            </w:pPr>
            <w:r w:rsidRPr="00E152C6">
              <w:t>Unit 4</w:t>
            </w:r>
          </w:p>
        </w:tc>
      </w:tr>
      <w:tr w:rsidR="00F606DE" w:rsidTr="008C3C06">
        <w:tc>
          <w:tcPr>
            <w:tcW w:w="0" w:type="dxa"/>
          </w:tcPr>
          <w:p w:rsidR="00E152C6" w:rsidRPr="008C3C06" w:rsidRDefault="00E152C6" w:rsidP="008C3C06">
            <w:pPr>
              <w:pStyle w:val="Tabletext"/>
              <w:rPr>
                <w:b/>
              </w:rPr>
            </w:pPr>
            <w:r w:rsidRPr="008C3C06">
              <w:rPr>
                <w:b/>
              </w:rPr>
              <w:t>Number, data and graphs</w:t>
            </w:r>
          </w:p>
          <w:p w:rsidR="00E152C6" w:rsidRPr="00E152C6" w:rsidRDefault="00E152C6">
            <w:pPr>
              <w:pStyle w:val="TableBullet"/>
            </w:pPr>
            <w:r w:rsidRPr="00E152C6">
              <w:t>Fundamental topic: Calculations</w:t>
            </w:r>
          </w:p>
          <w:p w:rsidR="00E152C6" w:rsidRPr="00E152C6" w:rsidRDefault="00E152C6">
            <w:pPr>
              <w:pStyle w:val="TableBullet"/>
            </w:pPr>
            <w:r w:rsidRPr="00E152C6">
              <w:t>Number</w:t>
            </w:r>
          </w:p>
          <w:p w:rsidR="00E152C6" w:rsidRPr="00E152C6" w:rsidRDefault="00E152C6">
            <w:pPr>
              <w:pStyle w:val="TableBullet"/>
            </w:pPr>
            <w:r w:rsidRPr="00E152C6">
              <w:t>Representing data</w:t>
            </w:r>
          </w:p>
          <w:p w:rsidR="00F606DE" w:rsidRDefault="00E152C6">
            <w:pPr>
              <w:pStyle w:val="TableBullet"/>
            </w:pPr>
            <w:r w:rsidRPr="00E152C6">
              <w:t xml:space="preserve">Graphs </w:t>
            </w:r>
          </w:p>
        </w:tc>
        <w:tc>
          <w:tcPr>
            <w:tcW w:w="0" w:type="dxa"/>
          </w:tcPr>
          <w:p w:rsidR="00E152C6" w:rsidRPr="008C3C06" w:rsidRDefault="00E152C6" w:rsidP="008C3C06">
            <w:pPr>
              <w:pStyle w:val="Tabletext"/>
              <w:rPr>
                <w:b/>
              </w:rPr>
            </w:pPr>
            <w:r w:rsidRPr="008C3C06">
              <w:rPr>
                <w:b/>
              </w:rPr>
              <w:t>Money, travel and data</w:t>
            </w:r>
          </w:p>
          <w:p w:rsidR="00E152C6" w:rsidRPr="00E152C6" w:rsidRDefault="00E152C6">
            <w:pPr>
              <w:pStyle w:val="TableBullet"/>
            </w:pPr>
            <w:r w:rsidRPr="00E152C6">
              <w:t>Fundamental topic: Calculations</w:t>
            </w:r>
          </w:p>
          <w:p w:rsidR="00E152C6" w:rsidRPr="00E152C6" w:rsidRDefault="00E152C6">
            <w:pPr>
              <w:pStyle w:val="TableBullet"/>
            </w:pPr>
            <w:r w:rsidRPr="00E152C6">
              <w:t>Managing money</w:t>
            </w:r>
          </w:p>
          <w:p w:rsidR="00E152C6" w:rsidRPr="00E152C6" w:rsidRDefault="00E152C6">
            <w:pPr>
              <w:pStyle w:val="TableBullet"/>
            </w:pPr>
            <w:r w:rsidRPr="00E152C6">
              <w:t xml:space="preserve">Time and motion </w:t>
            </w:r>
          </w:p>
          <w:p w:rsidR="00F606DE" w:rsidRDefault="00E152C6">
            <w:pPr>
              <w:pStyle w:val="TableBullet"/>
            </w:pPr>
            <w:r w:rsidRPr="00E152C6">
              <w:t>Data collection</w:t>
            </w:r>
          </w:p>
        </w:tc>
        <w:tc>
          <w:tcPr>
            <w:tcW w:w="0" w:type="dxa"/>
            <w:shd w:val="clear" w:color="auto" w:fill="auto"/>
          </w:tcPr>
          <w:p w:rsidR="00E152C6" w:rsidRPr="008C3C06" w:rsidRDefault="00E152C6" w:rsidP="008C3C06">
            <w:pPr>
              <w:pStyle w:val="Tabletext"/>
              <w:rPr>
                <w:b/>
              </w:rPr>
            </w:pPr>
            <w:r w:rsidRPr="008C3C06">
              <w:rPr>
                <w:b/>
              </w:rPr>
              <w:t>Measurement, scales and data</w:t>
            </w:r>
          </w:p>
          <w:p w:rsidR="00E152C6" w:rsidRPr="00E152C6" w:rsidRDefault="00E152C6">
            <w:pPr>
              <w:pStyle w:val="TableBullet"/>
            </w:pPr>
            <w:r w:rsidRPr="00E152C6">
              <w:t>Fundamental topic: Calculations</w:t>
            </w:r>
          </w:p>
          <w:p w:rsidR="00E152C6" w:rsidRPr="00E152C6" w:rsidRDefault="00E152C6">
            <w:pPr>
              <w:pStyle w:val="TableBullet"/>
            </w:pPr>
            <w:r w:rsidRPr="00E152C6">
              <w:t xml:space="preserve">Measurement </w:t>
            </w:r>
          </w:p>
          <w:p w:rsidR="00E152C6" w:rsidRPr="00E152C6" w:rsidRDefault="00E152C6">
            <w:pPr>
              <w:pStyle w:val="TableBullet"/>
            </w:pPr>
            <w:r w:rsidRPr="00E152C6">
              <w:t xml:space="preserve">Scales, plans and models </w:t>
            </w:r>
          </w:p>
          <w:p w:rsidR="00F606DE" w:rsidRDefault="00E152C6">
            <w:pPr>
              <w:pStyle w:val="TableBullet"/>
            </w:pPr>
            <w:r w:rsidRPr="00E152C6">
              <w:t>Summarising and comparing data</w:t>
            </w:r>
          </w:p>
        </w:tc>
        <w:tc>
          <w:tcPr>
            <w:tcW w:w="0" w:type="dxa"/>
            <w:shd w:val="clear" w:color="auto" w:fill="auto"/>
          </w:tcPr>
          <w:p w:rsidR="00E152C6" w:rsidRPr="008C3C06" w:rsidRDefault="00E152C6" w:rsidP="008C3C06">
            <w:pPr>
              <w:pStyle w:val="Tabletext"/>
              <w:rPr>
                <w:b/>
              </w:rPr>
            </w:pPr>
            <w:r w:rsidRPr="008C3C06">
              <w:rPr>
                <w:b/>
              </w:rPr>
              <w:t>Graphs, chance and loans</w:t>
            </w:r>
          </w:p>
          <w:p w:rsidR="00E152C6" w:rsidRPr="00E152C6" w:rsidRDefault="00E152C6">
            <w:pPr>
              <w:pStyle w:val="TableBullet"/>
            </w:pPr>
            <w:r w:rsidRPr="00E152C6">
              <w:t>Fundamental topic: Calculations</w:t>
            </w:r>
          </w:p>
          <w:p w:rsidR="00E152C6" w:rsidRPr="00E152C6" w:rsidRDefault="00E152C6">
            <w:pPr>
              <w:pStyle w:val="TableBullet"/>
            </w:pPr>
            <w:r w:rsidRPr="00E152C6">
              <w:t xml:space="preserve">Bivariate graphs </w:t>
            </w:r>
          </w:p>
          <w:p w:rsidR="00E152C6" w:rsidRPr="00E152C6" w:rsidRDefault="00E152C6">
            <w:pPr>
              <w:pStyle w:val="TableBullet"/>
            </w:pPr>
            <w:r w:rsidRPr="00E152C6">
              <w:t>Probability and relative frequencies</w:t>
            </w:r>
          </w:p>
          <w:p w:rsidR="00F606DE" w:rsidRDefault="00E152C6">
            <w:pPr>
              <w:pStyle w:val="TableBullet"/>
            </w:pPr>
            <w:r w:rsidRPr="00E152C6">
              <w:t xml:space="preserve">Loans and compound interest </w:t>
            </w:r>
          </w:p>
        </w:tc>
      </w:tr>
    </w:tbl>
    <w:p w:rsidR="00F606DE" w:rsidRDefault="00F606DE" w:rsidP="00834F1D">
      <w:pPr>
        <w:pStyle w:val="Heading3"/>
      </w:pPr>
      <w:bookmarkStart w:id="141" w:name="_Toc16163521"/>
      <w:r>
        <w:t>Assessment</w:t>
      </w:r>
      <w:bookmarkEnd w:id="141"/>
    </w:p>
    <w:p w:rsidR="00DA5DBB" w:rsidRDefault="00DA5DBB" w:rsidP="00834F1D">
      <w:pPr>
        <w:pStyle w:val="BodyText"/>
        <w:keepNext/>
        <w:keepLines/>
      </w:pPr>
      <w:r>
        <w:t>S</w:t>
      </w:r>
      <w:r w:rsidRPr="008C3C06">
        <w:t>chools devise assessment</w:t>
      </w:r>
      <w:r>
        <w:t>s</w:t>
      </w:r>
      <w:r w:rsidRPr="008C3C06">
        <w:t xml:space="preserve"> </w:t>
      </w:r>
      <w:r>
        <w:t>i</w:t>
      </w:r>
      <w:r w:rsidRPr="008C3C06">
        <w:t>n Units 1 and 2 to suit their local context.</w:t>
      </w:r>
      <w:r>
        <w:t xml:space="preserve"> </w:t>
      </w:r>
    </w:p>
    <w:p w:rsidR="00DA5DBB" w:rsidRDefault="00DA5DBB" w:rsidP="008A0611">
      <w:pPr>
        <w:pStyle w:val="BodyText"/>
      </w:pPr>
      <w:r>
        <w:t>I</w:t>
      </w:r>
      <w:r w:rsidRPr="008C3C06">
        <w:t xml:space="preserve">n Units 3 and 4 </w:t>
      </w:r>
      <w:r>
        <w:t>s</w:t>
      </w:r>
      <w:r w:rsidRPr="008C3C06">
        <w:t>tudents complete four summative assessments</w:t>
      </w:r>
      <w:r>
        <w:t xml:space="preserve">. </w:t>
      </w:r>
      <w:r w:rsidRPr="00815C44">
        <w:rPr>
          <w:noProof/>
        </w:rPr>
        <w:t xml:space="preserve">Schools develop three summative internal assessments and the common internal assessment (CIA) </w:t>
      </w:r>
      <w:r>
        <w:rPr>
          <w:noProof/>
        </w:rPr>
        <w:t>is developed by the QCAA.</w:t>
      </w:r>
    </w:p>
    <w:p w:rsidR="004A570C" w:rsidRDefault="00DA5DBB" w:rsidP="004C0D66">
      <w:pPr>
        <w:pStyle w:val="Caption"/>
        <w:rPr>
          <w:noProof/>
        </w:rPr>
      </w:pPr>
      <w:r>
        <w:rPr>
          <w:noProof/>
        </w:rPr>
        <w:t>Summative assessments</w:t>
      </w:r>
    </w:p>
    <w:tbl>
      <w:tblPr>
        <w:tblStyle w:val="QCAAtablestyle1"/>
        <w:tblW w:w="4900" w:type="pct"/>
        <w:tblLayout w:type="fixed"/>
        <w:tblLook w:val="04A0" w:firstRow="1" w:lastRow="0" w:firstColumn="1" w:lastColumn="0" w:noHBand="0" w:noVBand="1"/>
      </w:tblPr>
      <w:tblGrid>
        <w:gridCol w:w="4229"/>
        <w:gridCol w:w="4651"/>
      </w:tblGrid>
      <w:tr w:rsidR="004A570C" w:rsidTr="004C0D66">
        <w:trPr>
          <w:cnfStyle w:val="100000000000" w:firstRow="1" w:lastRow="0" w:firstColumn="0" w:lastColumn="0" w:oddVBand="0" w:evenVBand="0" w:oddHBand="0" w:evenHBand="0" w:firstRowFirstColumn="0" w:firstRowLastColumn="0" w:lastRowFirstColumn="0" w:lastRowLastColumn="0"/>
        </w:trPr>
        <w:tc>
          <w:tcPr>
            <w:tcW w:w="4253" w:type="dxa"/>
          </w:tcPr>
          <w:p w:rsidR="004A570C" w:rsidRPr="00FB1236" w:rsidRDefault="004A570C">
            <w:pPr>
              <w:pStyle w:val="Tableheading"/>
            </w:pPr>
            <w:r w:rsidRPr="00FB1236">
              <w:t>Unit 3</w:t>
            </w:r>
          </w:p>
        </w:tc>
        <w:tc>
          <w:tcPr>
            <w:tcW w:w="4678" w:type="dxa"/>
          </w:tcPr>
          <w:p w:rsidR="004A570C" w:rsidRPr="00FB1236" w:rsidRDefault="004A570C">
            <w:pPr>
              <w:pStyle w:val="Tableheading"/>
            </w:pPr>
            <w:r w:rsidRPr="00FB1236">
              <w:t>Unit 4</w:t>
            </w:r>
          </w:p>
        </w:tc>
      </w:tr>
      <w:tr w:rsidR="004A570C" w:rsidTr="004C0D66">
        <w:tc>
          <w:tcPr>
            <w:tcW w:w="4253" w:type="dxa"/>
          </w:tcPr>
          <w:p w:rsidR="004A570C" w:rsidRDefault="004A570C" w:rsidP="00556A1E">
            <w:pPr>
              <w:pStyle w:val="Tabletext"/>
            </w:pPr>
            <w:r>
              <w:t xml:space="preserve">Summative internal assessment 1 (IA1): </w:t>
            </w:r>
          </w:p>
          <w:p w:rsidR="004A570C" w:rsidRDefault="004A570C" w:rsidP="008C3C06">
            <w:pPr>
              <w:pStyle w:val="TableBullet"/>
            </w:pPr>
            <w:r>
              <w:t xml:space="preserve">Problem-solving and modelling task </w:t>
            </w:r>
          </w:p>
        </w:tc>
        <w:tc>
          <w:tcPr>
            <w:tcW w:w="4678" w:type="dxa"/>
          </w:tcPr>
          <w:p w:rsidR="004A570C" w:rsidRDefault="004A570C" w:rsidP="00815C44">
            <w:pPr>
              <w:pStyle w:val="Tabletext"/>
            </w:pPr>
            <w:r>
              <w:t xml:space="preserve">Summative internal assessment 3 (IA3): </w:t>
            </w:r>
          </w:p>
          <w:p w:rsidR="004A570C" w:rsidRDefault="004A570C" w:rsidP="008C3C06">
            <w:pPr>
              <w:pStyle w:val="TableBullet"/>
            </w:pPr>
            <w:r w:rsidRPr="00556A1E">
              <w:t xml:space="preserve">Problem-solving and modelling task </w:t>
            </w:r>
          </w:p>
        </w:tc>
      </w:tr>
      <w:tr w:rsidR="002C1CE8" w:rsidTr="004C0D66">
        <w:tc>
          <w:tcPr>
            <w:tcW w:w="4253" w:type="dxa"/>
          </w:tcPr>
          <w:p w:rsidR="002C1CE8" w:rsidRDefault="002C1CE8" w:rsidP="00556A1E">
            <w:pPr>
              <w:pStyle w:val="Tabletext"/>
            </w:pPr>
            <w:r>
              <w:t>Summativ</w:t>
            </w:r>
            <w:r w:rsidR="008C2D83">
              <w:t xml:space="preserve">e internal assessment 2 (IA2): </w:t>
            </w:r>
          </w:p>
          <w:p w:rsidR="002C1CE8" w:rsidRDefault="002C1CE8" w:rsidP="008C3C06">
            <w:pPr>
              <w:pStyle w:val="TableBullet"/>
            </w:pPr>
            <w:r>
              <w:t>Common internal assessment (CIA)</w:t>
            </w:r>
          </w:p>
        </w:tc>
        <w:tc>
          <w:tcPr>
            <w:tcW w:w="4678" w:type="dxa"/>
          </w:tcPr>
          <w:p w:rsidR="002C1CE8" w:rsidRDefault="002C1CE8" w:rsidP="001C081D">
            <w:pPr>
              <w:pStyle w:val="Tabletext"/>
            </w:pPr>
            <w:r>
              <w:t xml:space="preserve">Summative internal assessment (IA4): </w:t>
            </w:r>
          </w:p>
          <w:p w:rsidR="002C1CE8" w:rsidRDefault="002C1CE8" w:rsidP="008C3C06">
            <w:pPr>
              <w:pStyle w:val="TableBullet"/>
            </w:pPr>
            <w:r>
              <w:t xml:space="preserve">Examination </w:t>
            </w:r>
          </w:p>
        </w:tc>
      </w:tr>
    </w:tbl>
    <w:p w:rsidR="00556A1E" w:rsidRDefault="00556A1E" w:rsidP="00556A1E"/>
    <w:p w:rsidR="00634357" w:rsidRDefault="00F606DE">
      <w:r>
        <w:br w:type="page"/>
      </w:r>
    </w:p>
    <w:p w:rsidR="00143504" w:rsidRDefault="00143504"/>
    <w:tbl>
      <w:tblPr>
        <w:tblStyle w:val="TextLayout"/>
        <w:tblW w:w="5650" w:type="pct"/>
        <w:tblInd w:w="-170" w:type="dxa"/>
        <w:tblLayout w:type="fixed"/>
        <w:tblLook w:val="04A0" w:firstRow="1" w:lastRow="0" w:firstColumn="1" w:lastColumn="0" w:noHBand="0" w:noVBand="1"/>
      </w:tblPr>
      <w:tblGrid>
        <w:gridCol w:w="141"/>
        <w:gridCol w:w="9264"/>
        <w:gridCol w:w="845"/>
      </w:tblGrid>
      <w:tr w:rsidR="00DA41FF" w:rsidRPr="003B6F39" w:rsidTr="00DA41FF">
        <w:trPr>
          <w:trHeight w:hRule="exact" w:val="851"/>
        </w:trPr>
        <w:tc>
          <w:tcPr>
            <w:tcW w:w="142" w:type="dxa"/>
            <w:shd w:val="clear" w:color="auto" w:fill="00B5D1"/>
          </w:tcPr>
          <w:p w:rsidR="00DA41FF" w:rsidRDefault="00DA41FF" w:rsidP="00BE0C34">
            <w:pPr>
              <w:pStyle w:val="Tabletext"/>
            </w:pPr>
          </w:p>
        </w:tc>
        <w:tc>
          <w:tcPr>
            <w:tcW w:w="9323" w:type="dxa"/>
            <w:tcMar>
              <w:left w:w="57" w:type="dxa"/>
            </w:tcMar>
            <w:vAlign w:val="center"/>
          </w:tcPr>
          <w:p w:rsidR="00DA41FF" w:rsidRDefault="00DA41FF" w:rsidP="00CD2D5C">
            <w:pPr>
              <w:pStyle w:val="SubjectHeading"/>
            </w:pPr>
            <w:r>
              <w:t>English</w:t>
            </w:r>
          </w:p>
          <w:p w:rsidR="00DA41FF" w:rsidRPr="00E86C01" w:rsidRDefault="00DA41FF" w:rsidP="00BE0C34">
            <w:pPr>
              <w:pStyle w:val="Heading3"/>
              <w:spacing w:before="0" w:after="0"/>
            </w:pPr>
            <w:bookmarkStart w:id="142" w:name="_Toc16163522"/>
            <w:r>
              <w:t>General senior subject</w:t>
            </w:r>
            <w:bookmarkEnd w:id="142"/>
          </w:p>
        </w:tc>
        <w:tc>
          <w:tcPr>
            <w:tcW w:w="850" w:type="dxa"/>
            <w:shd w:val="clear" w:color="auto" w:fill="00B5D1"/>
            <w:tcMar>
              <w:bottom w:w="28" w:type="dxa"/>
              <w:right w:w="57" w:type="dxa"/>
            </w:tcMar>
            <w:vAlign w:val="bottom"/>
          </w:tcPr>
          <w:p w:rsidR="00DA41FF" w:rsidRPr="00DA41FF" w:rsidRDefault="00DA41FF" w:rsidP="00BE0C34">
            <w:pPr>
              <w:pStyle w:val="Heading3"/>
              <w:spacing w:before="0" w:after="100" w:afterAutospacing="1"/>
              <w:jc w:val="right"/>
              <w:rPr>
                <w:color w:val="auto"/>
                <w:sz w:val="17"/>
                <w:szCs w:val="17"/>
              </w:rPr>
            </w:pPr>
            <w:bookmarkStart w:id="143" w:name="_Toc16163523"/>
            <w:r w:rsidRPr="00DA41FF">
              <w:rPr>
                <w:color w:val="auto"/>
                <w:sz w:val="17"/>
                <w:szCs w:val="17"/>
              </w:rPr>
              <w:t>General</w:t>
            </w:r>
            <w:bookmarkEnd w:id="143"/>
          </w:p>
        </w:tc>
      </w:tr>
      <w:tr w:rsidR="00DA41FF" w:rsidRPr="003B6F39" w:rsidTr="00BE0C34">
        <w:trPr>
          <w:trHeight w:hRule="exact" w:val="113"/>
        </w:trPr>
        <w:tc>
          <w:tcPr>
            <w:tcW w:w="10315" w:type="dxa"/>
            <w:gridSpan w:val="3"/>
            <w:shd w:val="clear" w:color="auto" w:fill="auto"/>
          </w:tcPr>
          <w:p w:rsidR="00DA41FF" w:rsidRPr="00E86C01" w:rsidRDefault="00DA41FF" w:rsidP="00BE0C34">
            <w:pPr>
              <w:pStyle w:val="Smallspace"/>
            </w:pPr>
          </w:p>
        </w:tc>
      </w:tr>
    </w:tbl>
    <w:p w:rsidR="00DD0435" w:rsidRDefault="00DD0435" w:rsidP="007B4B77">
      <w:pPr>
        <w:pStyle w:val="BodyText"/>
        <w:sectPr w:rsidR="00DD0435" w:rsidSect="005D5782">
          <w:headerReference w:type="default" r:id="rId26"/>
          <w:type w:val="continuous"/>
          <w:pgSz w:w="11907" w:h="16840" w:code="9"/>
          <w:pgMar w:top="1134" w:right="1418" w:bottom="1701" w:left="1418" w:header="567" w:footer="284" w:gutter="0"/>
          <w:cols w:space="720"/>
          <w:formProt w:val="0"/>
          <w:noEndnote/>
          <w:docGrid w:linePitch="299"/>
        </w:sectPr>
      </w:pPr>
    </w:p>
    <w:p w:rsidR="007B4B77" w:rsidRPr="008C3C06" w:rsidRDefault="007F1813" w:rsidP="008C3C06">
      <w:pPr>
        <w:pStyle w:val="BodyText"/>
      </w:pPr>
      <w:r>
        <w:fldChar w:fldCharType="begin"/>
      </w:r>
      <w:r>
        <w:instrText xml:space="preserve"> TC  </w:instrText>
      </w:r>
      <w:bookmarkStart w:id="144" w:name="_Toc495675598"/>
      <w:r>
        <w:instrText>English</w:instrText>
      </w:r>
      <w:bookmarkEnd w:id="144"/>
      <w:r>
        <w:instrText xml:space="preserve"> \l 2 </w:instrText>
      </w:r>
      <w:r>
        <w:fldChar w:fldCharType="end"/>
      </w:r>
      <w:r w:rsidR="007B4B77" w:rsidRPr="008C3C06">
        <w:t>English focuses on the study of both literary texts and non-literary texts, developing students as independent, innovative</w:t>
      </w:r>
      <w:r w:rsidR="007B4B77">
        <w:t xml:space="preserve"> </w:t>
      </w:r>
      <w:r w:rsidR="007B4B77" w:rsidRPr="008C3C06">
        <w:t>and creative learners and thinkers who appreciate the aesthetic use of language, analyse perspectives and evidence, and challenge ideas and interpretations through the analysis and creation of varied texts.</w:t>
      </w:r>
    </w:p>
    <w:p w:rsidR="009C5207" w:rsidRDefault="007B4B77" w:rsidP="008C3C06">
      <w:pPr>
        <w:pStyle w:val="BodyText"/>
      </w:pPr>
      <w:r w:rsidRPr="00ED0E27">
        <w:t>Students are offered opportunities to interpret and create</w:t>
      </w:r>
      <w:r>
        <w:t xml:space="preserve"> </w:t>
      </w:r>
      <w:r w:rsidRPr="00ED0E27">
        <w:t>texts for personal, cultural, social and aesthetic purposes. They learn how language varies according to context, purpose and audience, content, modes and mediums, and how to use it appropriately and effectively for a variety of purposes. Students have opportunities to engage with diverse texts to help them develop a sense of themselves, their world and their place in it.</w:t>
      </w:r>
    </w:p>
    <w:p w:rsidR="007B4B77" w:rsidRPr="008C3C06" w:rsidRDefault="007B4B77" w:rsidP="008C3C06">
      <w:pPr>
        <w:pStyle w:val="BodyText"/>
      </w:pPr>
      <w:r w:rsidRPr="008C3C06">
        <w:t xml:space="preserve">Students </w:t>
      </w:r>
      <w:r w:rsidR="009C5207" w:rsidRPr="00A12E4B">
        <w:t>communicate effectively in Standard Australian English for the purposes of responding to and creating texts</w:t>
      </w:r>
      <w:r w:rsidR="009C5207">
        <w:t xml:space="preserve">. They </w:t>
      </w:r>
      <w:r w:rsidR="009C5207" w:rsidRPr="007C2249">
        <w:t>make choices about generic structures, language, textual features and technologies for participating actively in literary analysis and the creation of texts in a range of modes, mediums and forms, for a variety of purposes and audiences</w:t>
      </w:r>
      <w:r w:rsidR="009C5207">
        <w:t xml:space="preserve">. They </w:t>
      </w:r>
      <w:r w:rsidR="009C5207" w:rsidRPr="0023551D">
        <w:t>explor</w:t>
      </w:r>
      <w:r w:rsidR="009C5207">
        <w:t xml:space="preserve">e </w:t>
      </w:r>
      <w:r w:rsidR="009C5207" w:rsidRPr="0023551D">
        <w:t>how literary and non-literary texts shape perceptions of the world</w:t>
      </w:r>
      <w:r w:rsidR="009C5207">
        <w:t xml:space="preserve">, </w:t>
      </w:r>
      <w:r w:rsidRPr="008C3C06">
        <w:t xml:space="preserve">and </w:t>
      </w:r>
      <w:r w:rsidR="009C5207">
        <w:t xml:space="preserve">consider </w:t>
      </w:r>
      <w:r w:rsidR="009C5207" w:rsidRPr="003769FD">
        <w:t>ways in which texts may reflect or challenge social and cultural ways of thinking and influence audiences</w:t>
      </w:r>
      <w:r w:rsidRPr="008C3C06">
        <w:t>.</w:t>
      </w:r>
    </w:p>
    <w:p w:rsidR="00AF468C" w:rsidRDefault="00AF468C" w:rsidP="00AF468C">
      <w:pPr>
        <w:pStyle w:val="Heading3"/>
      </w:pPr>
      <w:bookmarkStart w:id="145" w:name="_Toc16163524"/>
      <w:r>
        <w:t>Pathways</w:t>
      </w:r>
      <w:bookmarkEnd w:id="145"/>
    </w:p>
    <w:p w:rsidR="00AF468C" w:rsidRPr="008C3C06" w:rsidRDefault="009C5207" w:rsidP="008C3C06">
      <w:pPr>
        <w:pStyle w:val="BodyText"/>
      </w:pPr>
      <w:r w:rsidRPr="008C3C06">
        <w:t>A course of study in English promotes open-mindedness, imagination, critical awareness and intellectual flexibility —</w:t>
      </w:r>
      <w:r w:rsidR="0079500D">
        <w:t xml:space="preserve"> </w:t>
      </w:r>
      <w:r w:rsidRPr="008C3C06">
        <w:t>skills that prepare students for local and global citizenship, and for lifelong learning across a wide range of contexts.</w:t>
      </w:r>
    </w:p>
    <w:p w:rsidR="00AF468C" w:rsidRDefault="00AF468C" w:rsidP="00B827AE">
      <w:pPr>
        <w:pStyle w:val="Heading3"/>
        <w:spacing w:before="120"/>
      </w:pPr>
      <w:bookmarkStart w:id="146" w:name="_Toc16163525"/>
      <w:r>
        <w:t>Objectives</w:t>
      </w:r>
      <w:bookmarkEnd w:id="146"/>
    </w:p>
    <w:p w:rsidR="00AF468C" w:rsidRDefault="00DD0435" w:rsidP="008C3C06">
      <w:pPr>
        <w:pStyle w:val="BodyText"/>
        <w:rPr>
          <w:noProof/>
        </w:rPr>
      </w:pPr>
      <w:r>
        <w:rPr>
          <w:noProof/>
        </w:rPr>
        <w:t>By the conclusion of the course of study, students will:</w:t>
      </w:r>
    </w:p>
    <w:p w:rsidR="00DD0435" w:rsidRPr="00547332" w:rsidRDefault="00DD0435" w:rsidP="00547332">
      <w:pPr>
        <w:pStyle w:val="ListBullet0"/>
      </w:pPr>
      <w:r w:rsidRPr="00547332">
        <w:t>use patterns and conventions of genres to achieve particular purposes in cultural contexts and social situations</w:t>
      </w:r>
    </w:p>
    <w:p w:rsidR="00DD0435" w:rsidRPr="00547332" w:rsidRDefault="00DD0435" w:rsidP="00547332">
      <w:pPr>
        <w:pStyle w:val="ListBullet0"/>
      </w:pPr>
      <w:r w:rsidRPr="00547332">
        <w:t>establish and maintain roles of the writer/speaker/signer/designer and relationships with audiences</w:t>
      </w:r>
    </w:p>
    <w:p w:rsidR="00DD0435" w:rsidRPr="00547332" w:rsidRDefault="00DD0435" w:rsidP="00547332">
      <w:pPr>
        <w:pStyle w:val="ListBullet0"/>
      </w:pPr>
      <w:r w:rsidRPr="00547332">
        <w:t>create and analyse perspectives and representations of concepts, identities, times and places</w:t>
      </w:r>
    </w:p>
    <w:p w:rsidR="00DD0435" w:rsidRPr="00547332" w:rsidRDefault="00DD0435" w:rsidP="00547332">
      <w:pPr>
        <w:pStyle w:val="ListBullet0"/>
      </w:pPr>
      <w:r w:rsidRPr="00547332">
        <w:t>make use of and analyse the ways cultural assumptions, attitudes, values</w:t>
      </w:r>
      <w:r w:rsidR="004471F4" w:rsidRPr="00547332">
        <w:t xml:space="preserve"> </w:t>
      </w:r>
      <w:r w:rsidRPr="00547332">
        <w:t>and beliefs underpin texts and invite audiences to take up positions</w:t>
      </w:r>
    </w:p>
    <w:p w:rsidR="00DD0435" w:rsidRPr="00547332" w:rsidRDefault="00DD0435" w:rsidP="00547332">
      <w:pPr>
        <w:pStyle w:val="ListBullet0"/>
      </w:pPr>
      <w:r w:rsidRPr="00547332">
        <w:t>use aesthetic features and stylistic devices to achieve purposes and analyse their effects in texts</w:t>
      </w:r>
    </w:p>
    <w:p w:rsidR="00DD0435" w:rsidRPr="00547332" w:rsidRDefault="00DD0435" w:rsidP="00547332">
      <w:pPr>
        <w:pStyle w:val="ListBullet0"/>
      </w:pPr>
      <w:r w:rsidRPr="00547332">
        <w:t>select and synthesise subject matter to support perspectives</w:t>
      </w:r>
    </w:p>
    <w:p w:rsidR="00DD0435" w:rsidRPr="00547332" w:rsidRDefault="00DD0435" w:rsidP="00547332">
      <w:pPr>
        <w:pStyle w:val="ListBullet0"/>
      </w:pPr>
      <w:r w:rsidRPr="00547332">
        <w:t>organise and sequence subject matter to achieve particular purposes</w:t>
      </w:r>
    </w:p>
    <w:p w:rsidR="00DD0435" w:rsidRPr="00547332" w:rsidRDefault="00DD0435" w:rsidP="00547332">
      <w:pPr>
        <w:pStyle w:val="ListBullet0"/>
      </w:pPr>
      <w:r w:rsidRPr="00547332">
        <w:t>use cohesive devices to emphasise ideas and connect parts of texts</w:t>
      </w:r>
    </w:p>
    <w:p w:rsidR="00DD0435" w:rsidRPr="008C3C06" w:rsidRDefault="00DD0435">
      <w:pPr>
        <w:pStyle w:val="ListBullet0"/>
      </w:pPr>
      <w:r w:rsidRPr="008C3C06">
        <w:t>make language choices for particular purposes and contexts</w:t>
      </w:r>
    </w:p>
    <w:p w:rsidR="00DD0435" w:rsidRPr="00547332" w:rsidRDefault="00DD0435" w:rsidP="00547332">
      <w:pPr>
        <w:pStyle w:val="ListBullet0"/>
      </w:pPr>
      <w:r w:rsidRPr="00547332">
        <w:t>use grammar and language structures for particular purposes</w:t>
      </w:r>
    </w:p>
    <w:p w:rsidR="00DD0435" w:rsidRDefault="00DD0435" w:rsidP="00547332">
      <w:pPr>
        <w:pStyle w:val="ListBullet0"/>
      </w:pPr>
      <w:r w:rsidRPr="00547332">
        <w:t>use mode-appropriate features to achieve particular purposes.</w:t>
      </w:r>
    </w:p>
    <w:p w:rsidR="00B827AE" w:rsidRPr="00547332" w:rsidRDefault="00B827AE" w:rsidP="00B827AE">
      <w:pPr>
        <w:pStyle w:val="ListBullet0"/>
        <w:numPr>
          <w:ilvl w:val="0"/>
          <w:numId w:val="0"/>
        </w:numPr>
        <w:ind w:left="284" w:hanging="284"/>
      </w:pPr>
    </w:p>
    <w:p w:rsidR="00DD0435" w:rsidRPr="00547332" w:rsidRDefault="00DD0435" w:rsidP="00547332">
      <w:pPr>
        <w:sectPr w:rsidR="00DD0435" w:rsidRPr="00547332" w:rsidSect="00674E4C">
          <w:type w:val="continuous"/>
          <w:pgSz w:w="11907" w:h="16840" w:code="9"/>
          <w:pgMar w:top="1134" w:right="1418" w:bottom="1701" w:left="1418" w:header="567" w:footer="284" w:gutter="0"/>
          <w:cols w:num="2" w:space="720"/>
          <w:formProt w:val="0"/>
          <w:noEndnote/>
          <w:docGrid w:linePitch="299"/>
        </w:sectPr>
      </w:pPr>
    </w:p>
    <w:p w:rsidR="00DF2FC3" w:rsidRPr="00547332" w:rsidRDefault="00DF2FC3" w:rsidP="00547332">
      <w:r w:rsidRPr="00547332">
        <w:br w:type="page"/>
      </w:r>
    </w:p>
    <w:p w:rsidR="00AF468C" w:rsidRDefault="00AF468C" w:rsidP="00AF468C">
      <w:pPr>
        <w:pStyle w:val="Heading3"/>
      </w:pPr>
      <w:bookmarkStart w:id="147" w:name="_Toc16163526"/>
      <w:r>
        <w:t>Structure</w:t>
      </w:r>
      <w:bookmarkEnd w:id="147"/>
    </w:p>
    <w:tbl>
      <w:tblPr>
        <w:tblStyle w:val="QCAAtablestyle1"/>
        <w:tblW w:w="4900" w:type="pct"/>
        <w:tblLook w:val="04A0" w:firstRow="1" w:lastRow="0" w:firstColumn="1" w:lastColumn="0" w:noHBand="0" w:noVBand="1"/>
      </w:tblPr>
      <w:tblGrid>
        <w:gridCol w:w="2318"/>
        <w:gridCol w:w="2186"/>
        <w:gridCol w:w="2201"/>
        <w:gridCol w:w="2175"/>
      </w:tblGrid>
      <w:tr w:rsidR="00AF468C" w:rsidTr="004C0D66">
        <w:trPr>
          <w:cnfStyle w:val="100000000000" w:firstRow="1" w:lastRow="0" w:firstColumn="0" w:lastColumn="0" w:oddVBand="0" w:evenVBand="0" w:oddHBand="0" w:evenHBand="0" w:firstRowFirstColumn="0" w:firstRowLastColumn="0" w:lastRowFirstColumn="0" w:lastRowLastColumn="0"/>
        </w:trPr>
        <w:tc>
          <w:tcPr>
            <w:tcW w:w="2353" w:type="dxa"/>
          </w:tcPr>
          <w:p w:rsidR="00AF468C" w:rsidRPr="00A60988" w:rsidRDefault="00AF468C" w:rsidP="00A60988">
            <w:pPr>
              <w:pStyle w:val="Tableheading"/>
            </w:pPr>
            <w:r w:rsidRPr="00A60988">
              <w:t>Unit 1</w:t>
            </w:r>
          </w:p>
        </w:tc>
        <w:tc>
          <w:tcPr>
            <w:tcW w:w="2206" w:type="dxa"/>
          </w:tcPr>
          <w:p w:rsidR="00AF468C" w:rsidRPr="00A60988" w:rsidRDefault="00AF468C" w:rsidP="00A60988">
            <w:pPr>
              <w:pStyle w:val="Tableheading"/>
            </w:pPr>
            <w:r w:rsidRPr="00A60988">
              <w:t>Unit 2</w:t>
            </w:r>
          </w:p>
        </w:tc>
        <w:tc>
          <w:tcPr>
            <w:tcW w:w="2232" w:type="dxa"/>
          </w:tcPr>
          <w:p w:rsidR="00AF468C" w:rsidRPr="00A60988" w:rsidRDefault="00AF468C" w:rsidP="00A60988">
            <w:pPr>
              <w:pStyle w:val="Tableheading"/>
            </w:pPr>
            <w:r w:rsidRPr="00A60988">
              <w:t>Unit 3</w:t>
            </w:r>
          </w:p>
        </w:tc>
        <w:tc>
          <w:tcPr>
            <w:tcW w:w="2207" w:type="dxa"/>
          </w:tcPr>
          <w:p w:rsidR="00AF468C" w:rsidRPr="00A60988" w:rsidRDefault="00AF468C" w:rsidP="00A60988">
            <w:pPr>
              <w:pStyle w:val="Tableheading"/>
            </w:pPr>
            <w:r w:rsidRPr="00A60988">
              <w:t>Unit 4</w:t>
            </w:r>
          </w:p>
        </w:tc>
      </w:tr>
      <w:tr w:rsidR="00A60988" w:rsidTr="004C0D66">
        <w:tc>
          <w:tcPr>
            <w:tcW w:w="2353" w:type="dxa"/>
            <w:shd w:val="clear" w:color="auto" w:fill="auto"/>
          </w:tcPr>
          <w:p w:rsidR="00A60988" w:rsidRDefault="00A60988" w:rsidP="00A60988">
            <w:pPr>
              <w:pStyle w:val="Tableheading"/>
            </w:pPr>
            <w:r>
              <w:t>Perspectives and texts</w:t>
            </w:r>
          </w:p>
          <w:p w:rsidR="00A60988" w:rsidRDefault="00A60988" w:rsidP="00A60988">
            <w:pPr>
              <w:pStyle w:val="TableBullet"/>
              <w:numPr>
                <w:ilvl w:val="0"/>
                <w:numId w:val="24"/>
              </w:numPr>
            </w:pPr>
            <w:r>
              <w:t>Examining and creating perspectives in texts</w:t>
            </w:r>
          </w:p>
          <w:p w:rsidR="00A60988" w:rsidRDefault="00A60988" w:rsidP="00A60988">
            <w:pPr>
              <w:pStyle w:val="TableBullet"/>
              <w:numPr>
                <w:ilvl w:val="0"/>
                <w:numId w:val="24"/>
              </w:numPr>
            </w:pPr>
            <w:r>
              <w:t>Responding to a variety of non-literary and literary texts</w:t>
            </w:r>
          </w:p>
          <w:p w:rsidR="00A60988" w:rsidRDefault="00A60988" w:rsidP="00A60988">
            <w:pPr>
              <w:pStyle w:val="TableBullet"/>
              <w:numPr>
                <w:ilvl w:val="0"/>
                <w:numId w:val="24"/>
              </w:numPr>
            </w:pPr>
            <w:r>
              <w:t>Creating responses for public audiences and persuasive texts</w:t>
            </w:r>
          </w:p>
          <w:p w:rsidR="00A60988" w:rsidRPr="00DF2FC3" w:rsidRDefault="00A60988" w:rsidP="008C3C06">
            <w:pPr>
              <w:pStyle w:val="Tableheading"/>
            </w:pPr>
          </w:p>
        </w:tc>
        <w:tc>
          <w:tcPr>
            <w:tcW w:w="2206" w:type="dxa"/>
            <w:shd w:val="clear" w:color="auto" w:fill="auto"/>
          </w:tcPr>
          <w:p w:rsidR="00A60988" w:rsidRDefault="00A60988" w:rsidP="00A60988">
            <w:pPr>
              <w:pStyle w:val="Tableheading"/>
            </w:pPr>
            <w:r>
              <w:t>Texts and culture</w:t>
            </w:r>
          </w:p>
          <w:p w:rsidR="00A60988" w:rsidRDefault="00A60988" w:rsidP="00A60988">
            <w:pPr>
              <w:pStyle w:val="TableBullet"/>
              <w:numPr>
                <w:ilvl w:val="0"/>
                <w:numId w:val="24"/>
              </w:numPr>
            </w:pPr>
            <w:r>
              <w:t>Examining and shaping representations of culture in texts</w:t>
            </w:r>
          </w:p>
          <w:p w:rsidR="00A60988" w:rsidRDefault="00A60988" w:rsidP="00A60988">
            <w:pPr>
              <w:pStyle w:val="TableBullet"/>
            </w:pPr>
            <w:r>
              <w:t>Responding to literary and non-literary texts, including a focus on Australian texts</w:t>
            </w:r>
          </w:p>
          <w:p w:rsidR="00A60988" w:rsidRDefault="00A60988" w:rsidP="008C3C06">
            <w:pPr>
              <w:pStyle w:val="TableBullet"/>
            </w:pPr>
            <w:r>
              <w:t>Creating imaginative and analytical texts</w:t>
            </w:r>
          </w:p>
        </w:tc>
        <w:tc>
          <w:tcPr>
            <w:tcW w:w="2232" w:type="dxa"/>
            <w:shd w:val="clear" w:color="auto" w:fill="auto"/>
          </w:tcPr>
          <w:p w:rsidR="00A60988" w:rsidRDefault="00A60988" w:rsidP="00A60988">
            <w:pPr>
              <w:pStyle w:val="Tableheading"/>
            </w:pPr>
            <w:r>
              <w:t>Textual connections</w:t>
            </w:r>
          </w:p>
          <w:p w:rsidR="00A60988" w:rsidRDefault="00A60988" w:rsidP="00A60988">
            <w:pPr>
              <w:pStyle w:val="TableBullet"/>
              <w:numPr>
                <w:ilvl w:val="0"/>
                <w:numId w:val="24"/>
              </w:numPr>
            </w:pPr>
            <w:r>
              <w:t>Exploring connections between texts</w:t>
            </w:r>
          </w:p>
          <w:p w:rsidR="00A60988" w:rsidRDefault="00A60988" w:rsidP="00A60988">
            <w:pPr>
              <w:pStyle w:val="TableBullet"/>
            </w:pPr>
            <w:r>
              <w:t>Examining different perspectives of the same issue in texts and shaping own perspectives</w:t>
            </w:r>
          </w:p>
          <w:p w:rsidR="00A60988" w:rsidRDefault="00A60988" w:rsidP="008C3C06">
            <w:pPr>
              <w:pStyle w:val="TableBullet"/>
            </w:pPr>
            <w:r>
              <w:t>Creating responses for public audiences and persuasive texts</w:t>
            </w:r>
          </w:p>
        </w:tc>
        <w:tc>
          <w:tcPr>
            <w:tcW w:w="2207" w:type="dxa"/>
            <w:shd w:val="clear" w:color="auto" w:fill="auto"/>
          </w:tcPr>
          <w:p w:rsidR="00A60988" w:rsidRDefault="00A60988" w:rsidP="00A60988">
            <w:pPr>
              <w:pStyle w:val="Tableheading"/>
            </w:pPr>
            <w:r>
              <w:t>Close study of literary texts</w:t>
            </w:r>
          </w:p>
          <w:p w:rsidR="00A60988" w:rsidRDefault="00A60988" w:rsidP="00A60988">
            <w:pPr>
              <w:pStyle w:val="TableBullet"/>
              <w:numPr>
                <w:ilvl w:val="0"/>
                <w:numId w:val="24"/>
              </w:numPr>
            </w:pPr>
            <w:r>
              <w:t>Engaging with literary texts from diverse times and places</w:t>
            </w:r>
          </w:p>
          <w:p w:rsidR="00A60988" w:rsidRDefault="00A60988" w:rsidP="00A60988">
            <w:pPr>
              <w:pStyle w:val="TableBullet"/>
            </w:pPr>
            <w:r>
              <w:t>Responding to literary texts creatively and critically</w:t>
            </w:r>
          </w:p>
          <w:p w:rsidR="00A60988" w:rsidRDefault="00A60988" w:rsidP="008C3C06">
            <w:pPr>
              <w:pStyle w:val="TableBullet"/>
            </w:pPr>
            <w:r>
              <w:t>Creating imaginative and analytical texts</w:t>
            </w:r>
          </w:p>
        </w:tc>
      </w:tr>
    </w:tbl>
    <w:p w:rsidR="00AF468C" w:rsidRDefault="00AF468C" w:rsidP="00AF468C">
      <w:pPr>
        <w:pStyle w:val="Heading3"/>
      </w:pPr>
      <w:bookmarkStart w:id="148" w:name="_Toc16163527"/>
      <w:r>
        <w:t>Assessment</w:t>
      </w:r>
      <w:bookmarkEnd w:id="148"/>
    </w:p>
    <w:p w:rsidR="00B735D3" w:rsidRDefault="00B735D3" w:rsidP="00B735D3">
      <w:pPr>
        <w:pStyle w:val="BodyText"/>
      </w:pPr>
      <w:bookmarkStart w:id="149" w:name="_Hlk493578371"/>
      <w:r>
        <w:t>S</w:t>
      </w:r>
      <w:r w:rsidRPr="008C3C06">
        <w:t>chools devise assessment</w:t>
      </w:r>
      <w:r>
        <w:t>s</w:t>
      </w:r>
      <w:r w:rsidRPr="008C3C06">
        <w:t xml:space="preserve"> </w:t>
      </w:r>
      <w:r>
        <w:t>i</w:t>
      </w:r>
      <w:r w:rsidRPr="008C3C06">
        <w:t>n Units 1 and 2 to suit their local context.</w:t>
      </w:r>
      <w:r>
        <w:t xml:space="preserve"> </w:t>
      </w:r>
    </w:p>
    <w:p w:rsidR="00B735D3" w:rsidRDefault="00B735D3" w:rsidP="00B735D3">
      <w:pPr>
        <w:pStyle w:val="BodyText"/>
      </w:pPr>
      <w:r>
        <w:t>I</w:t>
      </w:r>
      <w:r w:rsidRPr="008C3C06">
        <w:t xml:space="preserve">n Units 3 and 4 </w:t>
      </w:r>
      <w:r>
        <w:t>s</w:t>
      </w:r>
      <w:r w:rsidRPr="008C3C06">
        <w:t>tudents complete four summative assessments</w:t>
      </w:r>
      <w:r>
        <w:t>. The results from each of the assessments are added together to provi</w:t>
      </w:r>
      <w:r w:rsidR="005F258C">
        <w:t xml:space="preserve">de a subject score out of 100. </w:t>
      </w:r>
      <w:r>
        <w:t>Students will also receive an overall subject result (</w:t>
      </w:r>
      <w:r w:rsidR="003A1232">
        <w:t>A–E</w:t>
      </w:r>
      <w:r>
        <w:t>).</w:t>
      </w:r>
    </w:p>
    <w:p w:rsidR="004A570C" w:rsidRDefault="000D2D7A" w:rsidP="004C0D66">
      <w:pPr>
        <w:pStyle w:val="Caption"/>
        <w:rPr>
          <w:noProof/>
        </w:rPr>
      </w:pPr>
      <w:r>
        <w:t>Summative assessments</w:t>
      </w:r>
    </w:p>
    <w:tbl>
      <w:tblPr>
        <w:tblStyle w:val="QCAAtablestyle1"/>
        <w:tblW w:w="4900" w:type="pct"/>
        <w:tblLayout w:type="fixed"/>
        <w:tblLook w:val="04A0" w:firstRow="1" w:lastRow="0" w:firstColumn="1" w:lastColumn="0" w:noHBand="0" w:noVBand="1"/>
      </w:tblPr>
      <w:tblGrid>
        <w:gridCol w:w="3743"/>
        <w:gridCol w:w="697"/>
        <w:gridCol w:w="3743"/>
        <w:gridCol w:w="697"/>
      </w:tblGrid>
      <w:tr w:rsidR="004A570C" w:rsidTr="004C0D66">
        <w:trPr>
          <w:cnfStyle w:val="100000000000" w:firstRow="1" w:lastRow="0" w:firstColumn="0" w:lastColumn="0" w:oddVBand="0" w:evenVBand="0" w:oddHBand="0" w:evenHBand="0" w:firstRowFirstColumn="0" w:firstRowLastColumn="0" w:lastRowFirstColumn="0" w:lastRowLastColumn="0"/>
        </w:trPr>
        <w:tc>
          <w:tcPr>
            <w:tcW w:w="4536" w:type="dxa"/>
            <w:gridSpan w:val="2"/>
          </w:tcPr>
          <w:p w:rsidR="004A570C" w:rsidRDefault="004A570C" w:rsidP="00DF2541">
            <w:pPr>
              <w:pStyle w:val="Tableheading"/>
            </w:pPr>
            <w:r>
              <w:t>Unit 3</w:t>
            </w:r>
          </w:p>
        </w:tc>
        <w:tc>
          <w:tcPr>
            <w:tcW w:w="4536" w:type="dxa"/>
            <w:gridSpan w:val="2"/>
          </w:tcPr>
          <w:p w:rsidR="004A570C" w:rsidRDefault="004A570C" w:rsidP="00DF2541">
            <w:pPr>
              <w:pStyle w:val="Tableheading"/>
            </w:pPr>
            <w:r>
              <w:t>Unit 4</w:t>
            </w:r>
          </w:p>
        </w:tc>
      </w:tr>
      <w:tr w:rsidR="004A570C" w:rsidTr="004C0D66">
        <w:tc>
          <w:tcPr>
            <w:tcW w:w="3828" w:type="dxa"/>
          </w:tcPr>
          <w:p w:rsidR="004A570C" w:rsidRDefault="004A570C" w:rsidP="00DF2541">
            <w:pPr>
              <w:pStyle w:val="Tabletext"/>
            </w:pPr>
            <w:r>
              <w:t xml:space="preserve">Summative internal assessment 1 (IA1): </w:t>
            </w:r>
          </w:p>
          <w:p w:rsidR="004A570C" w:rsidRDefault="004A570C" w:rsidP="000A6C2D">
            <w:pPr>
              <w:pStyle w:val="TableBullet"/>
            </w:pPr>
            <w:r>
              <w:t xml:space="preserve">Extended response </w:t>
            </w:r>
            <w:r w:rsidR="000A6C2D">
              <w:t>—</w:t>
            </w:r>
            <w:r>
              <w:t xml:space="preserve"> written response for a public audience</w:t>
            </w:r>
          </w:p>
        </w:tc>
        <w:tc>
          <w:tcPr>
            <w:tcW w:w="708" w:type="dxa"/>
          </w:tcPr>
          <w:p w:rsidR="004A570C" w:rsidRDefault="004A570C" w:rsidP="00DF2541">
            <w:pPr>
              <w:pStyle w:val="Tabletext"/>
            </w:pPr>
            <w:r>
              <w:t>25%</w:t>
            </w:r>
          </w:p>
        </w:tc>
        <w:tc>
          <w:tcPr>
            <w:tcW w:w="3828" w:type="dxa"/>
          </w:tcPr>
          <w:p w:rsidR="004A570C" w:rsidRDefault="004A570C" w:rsidP="00DF2541">
            <w:pPr>
              <w:pStyle w:val="Tabletext"/>
            </w:pPr>
            <w:r>
              <w:t xml:space="preserve">Summative internal assessment 3 (IA3): </w:t>
            </w:r>
          </w:p>
          <w:p w:rsidR="004A570C" w:rsidRDefault="000A6C2D" w:rsidP="00DF2541">
            <w:pPr>
              <w:pStyle w:val="TableBullet"/>
            </w:pPr>
            <w:r>
              <w:t>Extended response —</w:t>
            </w:r>
            <w:r w:rsidR="004A570C">
              <w:t xml:space="preserve"> imaginative written response</w:t>
            </w:r>
          </w:p>
        </w:tc>
        <w:tc>
          <w:tcPr>
            <w:tcW w:w="708" w:type="dxa"/>
          </w:tcPr>
          <w:p w:rsidR="004A570C" w:rsidRDefault="004A570C" w:rsidP="00DF2541">
            <w:pPr>
              <w:pStyle w:val="Tabletext"/>
            </w:pPr>
            <w:r>
              <w:t>25%</w:t>
            </w:r>
          </w:p>
        </w:tc>
      </w:tr>
      <w:tr w:rsidR="004A570C" w:rsidTr="004C0D66">
        <w:tc>
          <w:tcPr>
            <w:tcW w:w="3828" w:type="dxa"/>
          </w:tcPr>
          <w:p w:rsidR="004A570C" w:rsidRDefault="004A570C" w:rsidP="00DF2541">
            <w:pPr>
              <w:pStyle w:val="Tabletext"/>
            </w:pPr>
            <w:r>
              <w:t>Summati</w:t>
            </w:r>
            <w:r w:rsidR="008C2D83">
              <w:t>ve internal assessment 2 (IA2):</w:t>
            </w:r>
            <w:r>
              <w:t xml:space="preserve"> </w:t>
            </w:r>
          </w:p>
          <w:p w:rsidR="004A570C" w:rsidRDefault="004A570C" w:rsidP="00DF2541">
            <w:pPr>
              <w:pStyle w:val="TableBullet"/>
            </w:pPr>
            <w:r>
              <w:t>Extended response — persuasive spoken response</w:t>
            </w:r>
          </w:p>
        </w:tc>
        <w:tc>
          <w:tcPr>
            <w:tcW w:w="708" w:type="dxa"/>
          </w:tcPr>
          <w:p w:rsidR="004A570C" w:rsidRDefault="004A570C" w:rsidP="00DF2541">
            <w:pPr>
              <w:pStyle w:val="Tabletext"/>
            </w:pPr>
            <w:r>
              <w:t>25%</w:t>
            </w:r>
          </w:p>
        </w:tc>
        <w:tc>
          <w:tcPr>
            <w:tcW w:w="3828" w:type="dxa"/>
          </w:tcPr>
          <w:p w:rsidR="004A570C" w:rsidRDefault="004A570C" w:rsidP="00DF2541">
            <w:pPr>
              <w:pStyle w:val="Tabletext"/>
            </w:pPr>
            <w:r>
              <w:t xml:space="preserve">Summative external assessment (EA): </w:t>
            </w:r>
          </w:p>
          <w:p w:rsidR="004A570C" w:rsidRDefault="004A570C" w:rsidP="000A6C2D">
            <w:pPr>
              <w:pStyle w:val="TableBullet"/>
            </w:pPr>
            <w:r>
              <w:t xml:space="preserve">Examination </w:t>
            </w:r>
            <w:r w:rsidR="000A6C2D">
              <w:t>—</w:t>
            </w:r>
            <w:r>
              <w:t xml:space="preserve"> analytical written response</w:t>
            </w:r>
          </w:p>
        </w:tc>
        <w:tc>
          <w:tcPr>
            <w:tcW w:w="708" w:type="dxa"/>
          </w:tcPr>
          <w:p w:rsidR="004A570C" w:rsidRDefault="004A570C" w:rsidP="00DF2541">
            <w:pPr>
              <w:pStyle w:val="Tabletext"/>
            </w:pPr>
            <w:r>
              <w:t>25%</w:t>
            </w:r>
          </w:p>
        </w:tc>
      </w:tr>
    </w:tbl>
    <w:p w:rsidR="00F6793D" w:rsidRDefault="00F6793D" w:rsidP="00DD0435"/>
    <w:p w:rsidR="00DD0435" w:rsidRDefault="00F6793D" w:rsidP="00DD0435">
      <w:r>
        <w:br w:type="page"/>
      </w:r>
    </w:p>
    <w:bookmarkEnd w:id="149"/>
    <w:p w:rsidR="00F815BD" w:rsidRDefault="00F815BD" w:rsidP="00F815BD"/>
    <w:p w:rsidR="00AF468C" w:rsidRDefault="00AF468C"/>
    <w:p w:rsidR="00301628" w:rsidRDefault="00301628" w:rsidP="00F666A0">
      <w:pPr>
        <w:pStyle w:val="BodyText"/>
      </w:pPr>
    </w:p>
    <w:tbl>
      <w:tblPr>
        <w:tblStyle w:val="TextLayout"/>
        <w:tblW w:w="5650" w:type="pct"/>
        <w:tblInd w:w="-170" w:type="dxa"/>
        <w:tblLayout w:type="fixed"/>
        <w:tblLook w:val="04A0" w:firstRow="1" w:lastRow="0" w:firstColumn="1" w:lastColumn="0" w:noHBand="0" w:noVBand="1"/>
      </w:tblPr>
      <w:tblGrid>
        <w:gridCol w:w="141"/>
        <w:gridCol w:w="9264"/>
        <w:gridCol w:w="845"/>
      </w:tblGrid>
      <w:tr w:rsidR="00DA41FF" w:rsidRPr="003B6F39" w:rsidTr="00BE0C34">
        <w:trPr>
          <w:trHeight w:hRule="exact" w:val="851"/>
        </w:trPr>
        <w:tc>
          <w:tcPr>
            <w:tcW w:w="142" w:type="dxa"/>
            <w:shd w:val="clear" w:color="auto" w:fill="00B5D1"/>
          </w:tcPr>
          <w:p w:rsidR="00DA41FF" w:rsidRDefault="00DA41FF" w:rsidP="00BE0C34">
            <w:pPr>
              <w:pStyle w:val="Tabletext"/>
            </w:pPr>
          </w:p>
        </w:tc>
        <w:tc>
          <w:tcPr>
            <w:tcW w:w="9323" w:type="dxa"/>
            <w:tcMar>
              <w:left w:w="57" w:type="dxa"/>
            </w:tcMar>
            <w:vAlign w:val="center"/>
          </w:tcPr>
          <w:p w:rsidR="00DA41FF" w:rsidRDefault="00DA41FF" w:rsidP="00CD2D5C">
            <w:pPr>
              <w:pStyle w:val="SubjectHeading"/>
            </w:pPr>
            <w:r>
              <w:t>Essential English</w:t>
            </w:r>
          </w:p>
          <w:p w:rsidR="00DA41FF" w:rsidRPr="00E86C01" w:rsidRDefault="00DA41FF" w:rsidP="00BE0C34">
            <w:pPr>
              <w:pStyle w:val="Heading3"/>
              <w:spacing w:before="0" w:after="0"/>
            </w:pPr>
            <w:bookmarkStart w:id="150" w:name="_Toc16163528"/>
            <w:r>
              <w:t>Applied senior subject</w:t>
            </w:r>
            <w:bookmarkEnd w:id="150"/>
          </w:p>
        </w:tc>
        <w:tc>
          <w:tcPr>
            <w:tcW w:w="850" w:type="dxa"/>
            <w:shd w:val="clear" w:color="auto" w:fill="00B5D1"/>
            <w:tcMar>
              <w:bottom w:w="28" w:type="dxa"/>
              <w:right w:w="57" w:type="dxa"/>
            </w:tcMar>
            <w:vAlign w:val="bottom"/>
          </w:tcPr>
          <w:p w:rsidR="00DA41FF" w:rsidRPr="00DA41FF" w:rsidRDefault="00DA41FF" w:rsidP="00DA41FF">
            <w:pPr>
              <w:pStyle w:val="Heading3"/>
              <w:spacing w:before="0" w:after="100" w:afterAutospacing="1"/>
              <w:jc w:val="right"/>
              <w:rPr>
                <w:color w:val="auto"/>
                <w:sz w:val="17"/>
                <w:szCs w:val="17"/>
              </w:rPr>
            </w:pPr>
            <w:bookmarkStart w:id="151" w:name="_Toc16163529"/>
            <w:r>
              <w:rPr>
                <w:color w:val="auto"/>
                <w:sz w:val="17"/>
                <w:szCs w:val="17"/>
              </w:rPr>
              <w:t>Applied</w:t>
            </w:r>
            <w:bookmarkEnd w:id="151"/>
          </w:p>
        </w:tc>
      </w:tr>
      <w:tr w:rsidR="004D730A" w:rsidRPr="003B6F39" w:rsidTr="00B36316">
        <w:trPr>
          <w:trHeight w:hRule="exact" w:val="113"/>
        </w:trPr>
        <w:tc>
          <w:tcPr>
            <w:tcW w:w="10315" w:type="dxa"/>
            <w:gridSpan w:val="3"/>
            <w:shd w:val="clear" w:color="auto" w:fill="auto"/>
          </w:tcPr>
          <w:p w:rsidR="004D730A" w:rsidRDefault="004D730A" w:rsidP="00B36316">
            <w:pPr>
              <w:pStyle w:val="Heading3"/>
              <w:spacing w:before="0" w:after="100" w:afterAutospacing="1"/>
              <w:rPr>
                <w:color w:val="auto"/>
                <w:sz w:val="17"/>
                <w:szCs w:val="17"/>
              </w:rPr>
            </w:pPr>
          </w:p>
        </w:tc>
      </w:tr>
    </w:tbl>
    <w:p w:rsidR="007D59ED" w:rsidRDefault="007D59ED"/>
    <w:p w:rsidR="007D59ED" w:rsidRDefault="007D59ED" w:rsidP="007D59ED">
      <w:pPr>
        <w:pStyle w:val="BodyText"/>
        <w:sectPr w:rsidR="007D59ED" w:rsidSect="005F3A96">
          <w:headerReference w:type="default" r:id="rId27"/>
          <w:type w:val="continuous"/>
          <w:pgSz w:w="11907" w:h="16840" w:code="9"/>
          <w:pgMar w:top="1134" w:right="1418" w:bottom="1701" w:left="1418" w:header="567" w:footer="284" w:gutter="0"/>
          <w:cols w:space="720"/>
          <w:formProt w:val="0"/>
          <w:noEndnote/>
          <w:docGrid w:linePitch="299"/>
        </w:sectPr>
      </w:pPr>
      <w:bookmarkStart w:id="152" w:name="_Hlk493167415"/>
    </w:p>
    <w:p w:rsidR="007D59ED" w:rsidRPr="009B3F07" w:rsidRDefault="007D59ED" w:rsidP="007D59ED">
      <w:pPr>
        <w:pStyle w:val="BodyText"/>
      </w:pPr>
      <w:r w:rsidRPr="009B3F07">
        <w:t>Essential English develops and refines students’ understanding of language, literature and literacy to enable them to interact confidently and effectively with others in everyday, community and social contexts. Students recognise language and texts as relevant in their lives now and in the future and learn to understand, accept or challenge the values and attitudes in these texts.</w:t>
      </w:r>
    </w:p>
    <w:p w:rsidR="007D59ED" w:rsidRPr="009B3F07" w:rsidRDefault="007D59ED" w:rsidP="007D59ED">
      <w:pPr>
        <w:pStyle w:val="BodyText"/>
      </w:pPr>
      <w:r w:rsidRPr="009B3F07">
        <w:t xml:space="preserve">Students engage with language and texts to foster skills to communicate confidently and effectively in Standard Australian English in a variety of contemporary contexts and social situations, including everyday, social, community, further education and work-related contexts. They choose generic structures, language, language features and technologies to best convey meaning. They develop skills to read for meaning and purpose, and to use, critique and appreciate a range of </w:t>
      </w:r>
      <w:r w:rsidRPr="009B3F07">
        <w:rPr>
          <w:rStyle w:val="BodyTextChar"/>
        </w:rPr>
        <w:t>contemporary literary and</w:t>
      </w:r>
      <w:r w:rsidRPr="009B3F07">
        <w:t xml:space="preserve"> non-literary texts.</w:t>
      </w:r>
    </w:p>
    <w:p w:rsidR="007D59ED" w:rsidRPr="009B3F07" w:rsidRDefault="007D59ED" w:rsidP="007D59ED">
      <w:pPr>
        <w:pStyle w:val="BodyText"/>
      </w:pPr>
      <w:r w:rsidRPr="009B3F07">
        <w:t xml:space="preserve">Students use language effectively to produce texts for a variety of purposes and audiences and engage creative and imaginative thinking to explore their own world and the worlds of others. They actively and critically interact with a range of texts, developing an awareness of how the language they engage with positions them and others. </w:t>
      </w:r>
    </w:p>
    <w:p w:rsidR="007D59ED" w:rsidRDefault="007D59ED" w:rsidP="007D59ED">
      <w:pPr>
        <w:pStyle w:val="Heading3"/>
      </w:pPr>
      <w:bookmarkStart w:id="153" w:name="_Toc16163530"/>
      <w:r>
        <w:t>Pathways</w:t>
      </w:r>
      <w:bookmarkEnd w:id="153"/>
    </w:p>
    <w:p w:rsidR="007D59ED" w:rsidRPr="00AF5888" w:rsidRDefault="007D59ED" w:rsidP="007D59ED">
      <w:pPr>
        <w:pStyle w:val="BodyText"/>
      </w:pPr>
      <w:r w:rsidRPr="00AB0ABC">
        <w:t xml:space="preserve">A course of study in Essential English promotes open-mindedness, imagination, critical awareness and intellectual flexibility </w:t>
      </w:r>
      <w:r w:rsidRPr="004B1D09">
        <w:t>—</w:t>
      </w:r>
      <w:r w:rsidRPr="00AB0ABC">
        <w:t xml:space="preserve"> skills that prepare students for local and global citizenship, and for lifelong learning across a wide range of contexts.</w:t>
      </w:r>
      <w:r>
        <w:t xml:space="preserve"> </w:t>
      </w:r>
    </w:p>
    <w:p w:rsidR="007D59ED" w:rsidRDefault="007D59ED" w:rsidP="00EE3E50">
      <w:pPr>
        <w:pStyle w:val="Heading3"/>
        <w:spacing w:before="120"/>
      </w:pPr>
      <w:bookmarkStart w:id="154" w:name="_Toc16163531"/>
      <w:r>
        <w:t>Objectives</w:t>
      </w:r>
      <w:bookmarkEnd w:id="154"/>
    </w:p>
    <w:p w:rsidR="007D59ED" w:rsidRDefault="007D59ED" w:rsidP="007D59ED">
      <w:pPr>
        <w:pStyle w:val="BodyText"/>
        <w:rPr>
          <w:noProof/>
        </w:rPr>
      </w:pPr>
      <w:r>
        <w:rPr>
          <w:noProof/>
        </w:rPr>
        <w:t>By the conclusion of the course of study, students will:</w:t>
      </w:r>
    </w:p>
    <w:p w:rsidR="007D59ED" w:rsidRPr="00547332" w:rsidRDefault="007D59ED" w:rsidP="00547332">
      <w:pPr>
        <w:pStyle w:val="ListBullet0"/>
      </w:pPr>
      <w:r w:rsidRPr="00547332">
        <w:t>use patterns and conventions of genres to achieve particular purposes in cultural contexts and social situations</w:t>
      </w:r>
    </w:p>
    <w:p w:rsidR="007D59ED" w:rsidRPr="00AF5888" w:rsidRDefault="007D59ED" w:rsidP="007D59ED">
      <w:pPr>
        <w:pStyle w:val="ListBullet0"/>
      </w:pPr>
      <w:r w:rsidRPr="008A7659">
        <w:rPr>
          <w:rFonts w:eastAsiaTheme="minorHAnsi"/>
        </w:rPr>
        <w:t>use</w:t>
      </w:r>
      <w:r w:rsidRPr="00AF5888">
        <w:rPr>
          <w:rFonts w:eastAsiaTheme="minorHAnsi"/>
        </w:rPr>
        <w:t xml:space="preserve"> </w:t>
      </w:r>
      <w:r w:rsidRPr="00AF5888">
        <w:rPr>
          <w:rStyle w:val="Crossreference"/>
          <w:rFonts w:eastAsiaTheme="minorHAnsi"/>
          <w:color w:val="auto"/>
        </w:rPr>
        <w:t>appropriate</w:t>
      </w:r>
      <w:r w:rsidRPr="00AF5888">
        <w:rPr>
          <w:rFonts w:eastAsiaTheme="minorHAnsi"/>
        </w:rPr>
        <w:t xml:space="preserve"> roles and relationships with audiences</w:t>
      </w:r>
    </w:p>
    <w:p w:rsidR="007D59ED" w:rsidRPr="00AF5888" w:rsidRDefault="007D59ED" w:rsidP="007D59ED">
      <w:pPr>
        <w:pStyle w:val="ListBullet0"/>
      </w:pPr>
      <w:r w:rsidRPr="00AF5888">
        <w:rPr>
          <w:rStyle w:val="Crossreference"/>
          <w:rFonts w:eastAsiaTheme="minorHAnsi"/>
          <w:color w:val="auto"/>
        </w:rPr>
        <w:t>construct</w:t>
      </w:r>
      <w:r w:rsidRPr="00AF5888">
        <w:rPr>
          <w:rFonts w:eastAsiaTheme="minorHAnsi"/>
        </w:rPr>
        <w:t xml:space="preserve"> and </w:t>
      </w:r>
      <w:r w:rsidRPr="00AF5888">
        <w:rPr>
          <w:rStyle w:val="Crossreference"/>
          <w:rFonts w:eastAsiaTheme="minorHAnsi"/>
          <w:color w:val="auto"/>
        </w:rPr>
        <w:t>explain</w:t>
      </w:r>
      <w:r w:rsidRPr="00AF5888">
        <w:rPr>
          <w:rFonts w:eastAsiaTheme="minorHAnsi"/>
        </w:rPr>
        <w:t xml:space="preserve"> representations of identities, places, events and concepts</w:t>
      </w:r>
    </w:p>
    <w:p w:rsidR="007D59ED" w:rsidRPr="00AF5888" w:rsidRDefault="007D59ED" w:rsidP="007D59ED">
      <w:pPr>
        <w:pStyle w:val="ListBullet0"/>
      </w:pPr>
      <w:r w:rsidRPr="00AF5888">
        <w:rPr>
          <w:rFonts w:eastAsiaTheme="minorHAnsi"/>
        </w:rPr>
        <w:t xml:space="preserve">make use of and </w:t>
      </w:r>
      <w:r w:rsidRPr="008A7659">
        <w:rPr>
          <w:rFonts w:eastAsiaTheme="minorHAnsi"/>
        </w:rPr>
        <w:t>explain</w:t>
      </w:r>
      <w:r w:rsidRPr="00AF5888">
        <w:rPr>
          <w:rFonts w:eastAsiaTheme="minorHAnsi"/>
        </w:rPr>
        <w:t xml:space="preserve"> the ways </w:t>
      </w:r>
      <w:r w:rsidRPr="00AF5888">
        <w:rPr>
          <w:rStyle w:val="Crossreference"/>
          <w:rFonts w:eastAsiaTheme="minorHAnsi"/>
          <w:color w:val="auto"/>
        </w:rPr>
        <w:t>cultural assumptions</w:t>
      </w:r>
      <w:r w:rsidRPr="00AF5888">
        <w:rPr>
          <w:rFonts w:eastAsiaTheme="minorHAnsi"/>
        </w:rPr>
        <w:t xml:space="preserve">, attitudes, </w:t>
      </w:r>
      <w:r w:rsidRPr="00AF5888">
        <w:rPr>
          <w:rStyle w:val="Crossreference"/>
          <w:rFonts w:eastAsiaTheme="minorHAnsi"/>
          <w:color w:val="auto"/>
        </w:rPr>
        <w:t>values</w:t>
      </w:r>
      <w:r w:rsidRPr="00AF5888">
        <w:rPr>
          <w:rFonts w:eastAsiaTheme="minorHAnsi"/>
        </w:rPr>
        <w:t xml:space="preserve"> and beliefs underpin texts and influence meaning</w:t>
      </w:r>
    </w:p>
    <w:p w:rsidR="007D59ED" w:rsidRPr="00AF5888" w:rsidRDefault="007D59ED" w:rsidP="007D59ED">
      <w:pPr>
        <w:pStyle w:val="ListBullet0"/>
      </w:pPr>
      <w:r w:rsidRPr="008A7659">
        <w:rPr>
          <w:rFonts w:eastAsiaTheme="minorHAnsi"/>
        </w:rPr>
        <w:t>explain</w:t>
      </w:r>
      <w:r w:rsidRPr="00AF5888">
        <w:rPr>
          <w:rFonts w:eastAsiaTheme="minorHAnsi"/>
        </w:rPr>
        <w:t xml:space="preserve"> how </w:t>
      </w:r>
      <w:r w:rsidRPr="00AF5888">
        <w:rPr>
          <w:rStyle w:val="Crossreference"/>
          <w:rFonts w:eastAsiaTheme="minorHAnsi"/>
          <w:color w:val="auto"/>
        </w:rPr>
        <w:t>language features</w:t>
      </w:r>
      <w:r w:rsidRPr="00AF5888">
        <w:rPr>
          <w:rFonts w:eastAsiaTheme="minorHAnsi"/>
        </w:rPr>
        <w:t xml:space="preserve"> and </w:t>
      </w:r>
      <w:r w:rsidRPr="00AF5888">
        <w:rPr>
          <w:rStyle w:val="Crossreference"/>
          <w:rFonts w:eastAsiaTheme="minorHAnsi"/>
          <w:color w:val="auto"/>
        </w:rPr>
        <w:t>text structures</w:t>
      </w:r>
      <w:r w:rsidRPr="00AF5888">
        <w:rPr>
          <w:rFonts w:eastAsiaTheme="minorHAnsi"/>
        </w:rPr>
        <w:t xml:space="preserve"> shape meaning and invite </w:t>
      </w:r>
      <w:r w:rsidRPr="008A7659">
        <w:rPr>
          <w:rFonts w:eastAsiaTheme="minorHAnsi"/>
        </w:rPr>
        <w:t>particular</w:t>
      </w:r>
      <w:r w:rsidRPr="00AF5888">
        <w:rPr>
          <w:rFonts w:eastAsiaTheme="minorHAnsi"/>
        </w:rPr>
        <w:t xml:space="preserve"> responses</w:t>
      </w:r>
    </w:p>
    <w:p w:rsidR="007D59ED" w:rsidRPr="00AF5888" w:rsidRDefault="007D59ED" w:rsidP="007D59ED">
      <w:pPr>
        <w:pStyle w:val="ListBullet0"/>
        <w:rPr>
          <w:rStyle w:val="Crossreference"/>
          <w:color w:val="auto"/>
        </w:rPr>
      </w:pPr>
      <w:r w:rsidRPr="00AF5888">
        <w:rPr>
          <w:rStyle w:val="Crossreference"/>
          <w:rFonts w:eastAsiaTheme="minorHAnsi"/>
          <w:color w:val="auto"/>
        </w:rPr>
        <w:t>select</w:t>
      </w:r>
      <w:r w:rsidRPr="00AF5888">
        <w:rPr>
          <w:rFonts w:eastAsiaTheme="minorHAnsi"/>
        </w:rPr>
        <w:t xml:space="preserve"> and </w:t>
      </w:r>
      <w:r w:rsidRPr="008A7659">
        <w:rPr>
          <w:rFonts w:eastAsiaTheme="minorHAnsi"/>
        </w:rPr>
        <w:t>use</w:t>
      </w:r>
      <w:r w:rsidRPr="00AF5888">
        <w:rPr>
          <w:rFonts w:eastAsiaTheme="minorHAnsi"/>
        </w:rPr>
        <w:t xml:space="preserve"> subject matter to support </w:t>
      </w:r>
      <w:r w:rsidRPr="00AF5888">
        <w:rPr>
          <w:rStyle w:val="Crossreference"/>
          <w:rFonts w:eastAsiaTheme="minorHAnsi"/>
          <w:color w:val="auto"/>
        </w:rPr>
        <w:t>perspectives</w:t>
      </w:r>
    </w:p>
    <w:p w:rsidR="007D59ED" w:rsidRPr="00AF5888" w:rsidRDefault="007D59ED" w:rsidP="007D59ED">
      <w:pPr>
        <w:pStyle w:val="ListBullet0"/>
      </w:pPr>
      <w:r w:rsidRPr="00AF5888">
        <w:rPr>
          <w:rFonts w:eastAsiaTheme="minorHAnsi"/>
        </w:rPr>
        <w:t xml:space="preserve">sequence subject matter and </w:t>
      </w:r>
      <w:r w:rsidRPr="008A7659">
        <w:rPr>
          <w:rFonts w:eastAsiaTheme="minorHAnsi"/>
        </w:rPr>
        <w:t>use mode-appropriate</w:t>
      </w:r>
      <w:r w:rsidRPr="00AF5888">
        <w:rPr>
          <w:rFonts w:eastAsiaTheme="minorHAnsi"/>
        </w:rPr>
        <w:t xml:space="preserve"> </w:t>
      </w:r>
      <w:r w:rsidRPr="00AF5888">
        <w:rPr>
          <w:rStyle w:val="Crossreference"/>
          <w:rFonts w:eastAsiaTheme="minorHAnsi"/>
          <w:color w:val="auto"/>
        </w:rPr>
        <w:t>cohesive devices</w:t>
      </w:r>
      <w:r w:rsidRPr="00AF5888">
        <w:rPr>
          <w:rFonts w:eastAsiaTheme="minorHAnsi"/>
        </w:rPr>
        <w:t xml:space="preserve"> to </w:t>
      </w:r>
      <w:r w:rsidRPr="008A7659">
        <w:rPr>
          <w:rFonts w:eastAsiaTheme="minorHAnsi"/>
        </w:rPr>
        <w:t>construct</w:t>
      </w:r>
      <w:r w:rsidRPr="00AF5888">
        <w:rPr>
          <w:rFonts w:eastAsiaTheme="minorHAnsi"/>
        </w:rPr>
        <w:t xml:space="preserve"> </w:t>
      </w:r>
      <w:r w:rsidRPr="00AF5888">
        <w:rPr>
          <w:rStyle w:val="Crossreference"/>
          <w:rFonts w:eastAsiaTheme="minorHAnsi"/>
          <w:color w:val="auto"/>
        </w:rPr>
        <w:t>coherent</w:t>
      </w:r>
      <w:r w:rsidRPr="00AF5888">
        <w:rPr>
          <w:rFonts w:eastAsiaTheme="minorHAnsi"/>
        </w:rPr>
        <w:t xml:space="preserve"> texts</w:t>
      </w:r>
    </w:p>
    <w:p w:rsidR="007D59ED" w:rsidRPr="00AF5888" w:rsidRDefault="007D59ED" w:rsidP="007D59ED">
      <w:pPr>
        <w:pStyle w:val="ListBullet0"/>
        <w:rPr>
          <w:rStyle w:val="Crossreference"/>
          <w:color w:val="auto"/>
        </w:rPr>
      </w:pPr>
      <w:r w:rsidRPr="00AF5888">
        <w:rPr>
          <w:rFonts w:eastAsiaTheme="minorHAnsi"/>
        </w:rPr>
        <w:t>make mode-</w:t>
      </w:r>
      <w:r w:rsidRPr="008A7659">
        <w:rPr>
          <w:rFonts w:eastAsiaTheme="minorHAnsi"/>
        </w:rPr>
        <w:t>appropriate</w:t>
      </w:r>
      <w:r w:rsidRPr="00AF5888">
        <w:rPr>
          <w:rFonts w:eastAsiaTheme="minorHAnsi"/>
        </w:rPr>
        <w:t xml:space="preserve"> language choices according to </w:t>
      </w:r>
      <w:r w:rsidRPr="00AF5888">
        <w:rPr>
          <w:rStyle w:val="Crossreference"/>
          <w:rFonts w:eastAsiaTheme="minorHAnsi"/>
          <w:color w:val="auto"/>
        </w:rPr>
        <w:t>register</w:t>
      </w:r>
      <w:r w:rsidRPr="00AF5888">
        <w:rPr>
          <w:rFonts w:eastAsiaTheme="minorHAnsi"/>
        </w:rPr>
        <w:t xml:space="preserve"> </w:t>
      </w:r>
      <w:r w:rsidRPr="00AF5888">
        <w:rPr>
          <w:rStyle w:val="Crossreference"/>
          <w:rFonts w:eastAsiaTheme="minorHAnsi"/>
          <w:color w:val="auto"/>
        </w:rPr>
        <w:t>informed</w:t>
      </w:r>
      <w:r w:rsidRPr="00AF5888">
        <w:rPr>
          <w:rFonts w:eastAsiaTheme="minorHAnsi"/>
        </w:rPr>
        <w:t xml:space="preserve"> by purpose, </w:t>
      </w:r>
      <w:r w:rsidRPr="00AF5888">
        <w:rPr>
          <w:rStyle w:val="Crossreference"/>
          <w:rFonts w:eastAsiaTheme="minorHAnsi"/>
          <w:color w:val="auto"/>
        </w:rPr>
        <w:t>audience</w:t>
      </w:r>
      <w:r w:rsidRPr="00AF5888">
        <w:rPr>
          <w:rFonts w:eastAsiaTheme="minorHAnsi"/>
        </w:rPr>
        <w:t xml:space="preserve"> and </w:t>
      </w:r>
      <w:r w:rsidRPr="00AF5888">
        <w:rPr>
          <w:rStyle w:val="Crossreference"/>
          <w:rFonts w:eastAsiaTheme="minorHAnsi"/>
          <w:color w:val="auto"/>
        </w:rPr>
        <w:t>context</w:t>
      </w:r>
    </w:p>
    <w:p w:rsidR="007D59ED" w:rsidRDefault="007D59ED" w:rsidP="007D59ED">
      <w:pPr>
        <w:pStyle w:val="ListBullet0"/>
        <w:rPr>
          <w:rFonts w:eastAsiaTheme="minorHAnsi"/>
        </w:rPr>
      </w:pPr>
      <w:r w:rsidRPr="008A7659">
        <w:rPr>
          <w:rFonts w:eastAsiaTheme="minorHAnsi"/>
        </w:rPr>
        <w:t>use language features to achieve particular</w:t>
      </w:r>
      <w:r w:rsidRPr="00AF5888">
        <w:rPr>
          <w:rFonts w:eastAsiaTheme="minorHAnsi"/>
        </w:rPr>
        <w:t xml:space="preserve"> purposes across </w:t>
      </w:r>
      <w:r w:rsidRPr="00AF5888">
        <w:rPr>
          <w:rStyle w:val="Crossreference"/>
          <w:rFonts w:eastAsiaTheme="minorHAnsi"/>
          <w:color w:val="auto"/>
        </w:rPr>
        <w:t>modes</w:t>
      </w:r>
      <w:r w:rsidRPr="00AF5888">
        <w:rPr>
          <w:rFonts w:eastAsiaTheme="minorHAnsi"/>
        </w:rPr>
        <w:t>.</w:t>
      </w:r>
    </w:p>
    <w:p w:rsidR="00EE3E50" w:rsidRDefault="00EE3E50" w:rsidP="00EE3E50">
      <w:pPr>
        <w:pStyle w:val="ListBullet0"/>
        <w:numPr>
          <w:ilvl w:val="0"/>
          <w:numId w:val="0"/>
        </w:numPr>
        <w:ind w:left="284" w:hanging="284"/>
        <w:rPr>
          <w:rFonts w:eastAsiaTheme="minorHAnsi"/>
        </w:rPr>
      </w:pPr>
    </w:p>
    <w:p w:rsidR="00EE3E50" w:rsidRDefault="00EE3E50" w:rsidP="00EE3E50">
      <w:pPr>
        <w:pStyle w:val="ListBullet0"/>
        <w:numPr>
          <w:ilvl w:val="0"/>
          <w:numId w:val="0"/>
        </w:numPr>
        <w:ind w:left="284" w:hanging="284"/>
        <w:rPr>
          <w:rFonts w:eastAsiaTheme="minorHAnsi"/>
        </w:rPr>
      </w:pPr>
    </w:p>
    <w:p w:rsidR="00EE3E50" w:rsidRDefault="00EE3E50" w:rsidP="00EE3E50">
      <w:pPr>
        <w:pStyle w:val="ListBullet0"/>
        <w:numPr>
          <w:ilvl w:val="0"/>
          <w:numId w:val="0"/>
        </w:numPr>
        <w:ind w:left="284" w:hanging="284"/>
        <w:rPr>
          <w:rFonts w:eastAsiaTheme="minorHAnsi"/>
        </w:rPr>
      </w:pPr>
    </w:p>
    <w:p w:rsidR="00EE3E50" w:rsidRDefault="00EE3E50" w:rsidP="00EE3E50">
      <w:pPr>
        <w:pStyle w:val="ListBullet0"/>
        <w:numPr>
          <w:ilvl w:val="0"/>
          <w:numId w:val="0"/>
        </w:numPr>
        <w:ind w:left="284" w:hanging="284"/>
        <w:rPr>
          <w:rFonts w:eastAsiaTheme="minorHAnsi"/>
        </w:rPr>
      </w:pPr>
    </w:p>
    <w:p w:rsidR="00EE3E50" w:rsidRDefault="00EE3E50" w:rsidP="00EE3E50">
      <w:pPr>
        <w:pStyle w:val="ListBullet0"/>
        <w:numPr>
          <w:ilvl w:val="0"/>
          <w:numId w:val="0"/>
        </w:numPr>
        <w:ind w:left="284" w:hanging="284"/>
        <w:rPr>
          <w:rFonts w:eastAsiaTheme="minorHAnsi"/>
        </w:rPr>
        <w:sectPr w:rsidR="00EE3E50" w:rsidSect="005F3A96">
          <w:type w:val="continuous"/>
          <w:pgSz w:w="11907" w:h="16840" w:code="9"/>
          <w:pgMar w:top="1134" w:right="1418" w:bottom="1701" w:left="1418" w:header="567" w:footer="284" w:gutter="0"/>
          <w:cols w:num="2" w:space="720"/>
          <w:formProt w:val="0"/>
          <w:noEndnote/>
          <w:docGrid w:linePitch="299"/>
        </w:sectPr>
      </w:pPr>
    </w:p>
    <w:p w:rsidR="007D59ED" w:rsidRDefault="007D59ED" w:rsidP="007D59ED">
      <w:pPr>
        <w:pStyle w:val="ListBullet0"/>
        <w:numPr>
          <w:ilvl w:val="0"/>
          <w:numId w:val="0"/>
        </w:numPr>
        <w:ind w:left="284"/>
        <w:sectPr w:rsidR="007D59ED" w:rsidSect="00781E9E">
          <w:type w:val="continuous"/>
          <w:pgSz w:w="11907" w:h="16840" w:code="9"/>
          <w:pgMar w:top="1134" w:right="1418" w:bottom="1701" w:left="1418" w:header="567" w:footer="284" w:gutter="0"/>
          <w:cols w:space="720"/>
          <w:formProt w:val="0"/>
          <w:noEndnote/>
          <w:docGrid w:linePitch="299"/>
        </w:sectPr>
      </w:pPr>
    </w:p>
    <w:p w:rsidR="009206E0" w:rsidRPr="005F3A96" w:rsidRDefault="009206E0" w:rsidP="005F3A96">
      <w:r>
        <w:br w:type="page"/>
      </w:r>
    </w:p>
    <w:p w:rsidR="007D59ED" w:rsidRDefault="007D59ED" w:rsidP="007D59ED">
      <w:pPr>
        <w:pStyle w:val="Heading3"/>
      </w:pPr>
      <w:bookmarkStart w:id="155" w:name="_Toc16163532"/>
      <w:r>
        <w:t>Structure</w:t>
      </w:r>
      <w:bookmarkEnd w:id="155"/>
    </w:p>
    <w:tbl>
      <w:tblPr>
        <w:tblStyle w:val="QCAAtablestyle1"/>
        <w:tblW w:w="4900" w:type="pct"/>
        <w:tblLook w:val="04A0" w:firstRow="1" w:lastRow="0" w:firstColumn="1" w:lastColumn="0" w:noHBand="0" w:noVBand="1"/>
      </w:tblPr>
      <w:tblGrid>
        <w:gridCol w:w="2213"/>
        <w:gridCol w:w="2212"/>
        <w:gridCol w:w="2215"/>
        <w:gridCol w:w="2240"/>
      </w:tblGrid>
      <w:tr w:rsidR="007D59ED" w:rsidTr="00B943B4">
        <w:trPr>
          <w:cnfStyle w:val="100000000000" w:firstRow="1" w:lastRow="0" w:firstColumn="0" w:lastColumn="0" w:oddVBand="0" w:evenVBand="0" w:oddHBand="0" w:evenHBand="0" w:firstRowFirstColumn="0" w:firstRowLastColumn="0" w:lastRowFirstColumn="0" w:lastRowLastColumn="0"/>
        </w:trPr>
        <w:tc>
          <w:tcPr>
            <w:tcW w:w="2275" w:type="dxa"/>
          </w:tcPr>
          <w:p w:rsidR="007D59ED" w:rsidRDefault="007D59ED" w:rsidP="006A4F57">
            <w:pPr>
              <w:pStyle w:val="TableHeading0"/>
            </w:pPr>
            <w:r>
              <w:t>Unit 1</w:t>
            </w:r>
          </w:p>
        </w:tc>
        <w:tc>
          <w:tcPr>
            <w:tcW w:w="2275" w:type="dxa"/>
          </w:tcPr>
          <w:p w:rsidR="007D59ED" w:rsidRDefault="007D59ED" w:rsidP="006A4F57">
            <w:pPr>
              <w:pStyle w:val="TableHeading0"/>
            </w:pPr>
            <w:r>
              <w:t>Unit 2</w:t>
            </w:r>
          </w:p>
        </w:tc>
        <w:tc>
          <w:tcPr>
            <w:tcW w:w="2275" w:type="dxa"/>
          </w:tcPr>
          <w:p w:rsidR="007D59ED" w:rsidRDefault="007D59ED" w:rsidP="006A4F57">
            <w:pPr>
              <w:pStyle w:val="TableHeading0"/>
            </w:pPr>
            <w:r>
              <w:t>Unit 3</w:t>
            </w:r>
          </w:p>
        </w:tc>
        <w:tc>
          <w:tcPr>
            <w:tcW w:w="2276" w:type="dxa"/>
          </w:tcPr>
          <w:p w:rsidR="007D59ED" w:rsidRDefault="007D59ED" w:rsidP="006A4F57">
            <w:pPr>
              <w:pStyle w:val="TableHeading0"/>
            </w:pPr>
            <w:r>
              <w:t>Unit 4</w:t>
            </w:r>
          </w:p>
        </w:tc>
      </w:tr>
      <w:tr w:rsidR="007D59ED" w:rsidTr="00B943B4">
        <w:tc>
          <w:tcPr>
            <w:tcW w:w="2275" w:type="dxa"/>
            <w:shd w:val="clear" w:color="auto" w:fill="auto"/>
          </w:tcPr>
          <w:p w:rsidR="007D59ED" w:rsidRDefault="007D59ED" w:rsidP="00B943B4">
            <w:pPr>
              <w:pStyle w:val="TableHeading0"/>
            </w:pPr>
            <w:r>
              <w:t>Language that works</w:t>
            </w:r>
          </w:p>
          <w:p w:rsidR="007D59ED" w:rsidRDefault="007D59ED" w:rsidP="007D59ED">
            <w:pPr>
              <w:pStyle w:val="TableBullet"/>
              <w:numPr>
                <w:ilvl w:val="0"/>
                <w:numId w:val="24"/>
              </w:numPr>
            </w:pPr>
            <w:r>
              <w:t>Responding to a variety of texts used in and developed for a work context</w:t>
            </w:r>
          </w:p>
          <w:p w:rsidR="007D59ED" w:rsidRDefault="007D59ED" w:rsidP="007D59ED">
            <w:pPr>
              <w:pStyle w:val="TableBullet"/>
              <w:numPr>
                <w:ilvl w:val="0"/>
                <w:numId w:val="24"/>
              </w:numPr>
            </w:pPr>
            <w:r>
              <w:t>Creating multimodal and written texts</w:t>
            </w:r>
          </w:p>
        </w:tc>
        <w:tc>
          <w:tcPr>
            <w:tcW w:w="2275" w:type="dxa"/>
            <w:shd w:val="clear" w:color="auto" w:fill="auto"/>
          </w:tcPr>
          <w:p w:rsidR="007D59ED" w:rsidRDefault="007D59ED" w:rsidP="00B943B4">
            <w:pPr>
              <w:pStyle w:val="TableHeading0"/>
            </w:pPr>
            <w:r>
              <w:t>Texts and human experiences</w:t>
            </w:r>
          </w:p>
          <w:p w:rsidR="007D59ED" w:rsidRDefault="007D59ED" w:rsidP="007D59ED">
            <w:pPr>
              <w:pStyle w:val="TableBullet"/>
              <w:numPr>
                <w:ilvl w:val="0"/>
                <w:numId w:val="24"/>
              </w:numPr>
            </w:pPr>
            <w:r>
              <w:t>Responding to reflective and nonfiction texts that explore human experiences</w:t>
            </w:r>
          </w:p>
          <w:p w:rsidR="007D59ED" w:rsidRDefault="007D59ED" w:rsidP="007D59ED">
            <w:pPr>
              <w:pStyle w:val="TableBullet"/>
              <w:numPr>
                <w:ilvl w:val="0"/>
                <w:numId w:val="24"/>
              </w:numPr>
            </w:pPr>
            <w:r>
              <w:t>Creating spoken and written texts</w:t>
            </w:r>
          </w:p>
        </w:tc>
        <w:tc>
          <w:tcPr>
            <w:tcW w:w="2275" w:type="dxa"/>
            <w:shd w:val="clear" w:color="auto" w:fill="auto"/>
          </w:tcPr>
          <w:p w:rsidR="007D59ED" w:rsidRDefault="007D59ED" w:rsidP="00B943B4">
            <w:pPr>
              <w:pStyle w:val="TableHeading0"/>
            </w:pPr>
            <w:r>
              <w:t>Language that influences</w:t>
            </w:r>
          </w:p>
          <w:p w:rsidR="007D59ED" w:rsidRDefault="007D59ED" w:rsidP="007D59ED">
            <w:pPr>
              <w:pStyle w:val="TableBullet"/>
              <w:numPr>
                <w:ilvl w:val="0"/>
                <w:numId w:val="24"/>
              </w:numPr>
            </w:pPr>
            <w:r>
              <w:t>Creating and shaping perspectives on community, local and global issues in texts</w:t>
            </w:r>
          </w:p>
          <w:p w:rsidR="007D59ED" w:rsidRDefault="007D59ED" w:rsidP="007D59ED">
            <w:pPr>
              <w:pStyle w:val="TableBullet"/>
              <w:numPr>
                <w:ilvl w:val="0"/>
                <w:numId w:val="24"/>
              </w:numPr>
            </w:pPr>
            <w:r>
              <w:t>Responding to texts that seek to influence audiences</w:t>
            </w:r>
          </w:p>
        </w:tc>
        <w:tc>
          <w:tcPr>
            <w:tcW w:w="2276" w:type="dxa"/>
            <w:shd w:val="clear" w:color="auto" w:fill="auto"/>
          </w:tcPr>
          <w:p w:rsidR="007D59ED" w:rsidRDefault="007D59ED" w:rsidP="00B943B4">
            <w:pPr>
              <w:pStyle w:val="TableHeading0"/>
            </w:pPr>
            <w:r>
              <w:t>Representations and popular culture texts</w:t>
            </w:r>
          </w:p>
          <w:p w:rsidR="007D59ED" w:rsidRDefault="007D59ED" w:rsidP="007D59ED">
            <w:pPr>
              <w:pStyle w:val="TableBullet"/>
              <w:numPr>
                <w:ilvl w:val="0"/>
                <w:numId w:val="24"/>
              </w:numPr>
            </w:pPr>
            <w:r>
              <w:t>Responding to popular culture texts</w:t>
            </w:r>
          </w:p>
          <w:p w:rsidR="007D59ED" w:rsidRDefault="007D59ED" w:rsidP="007D59ED">
            <w:pPr>
              <w:pStyle w:val="TableBullet"/>
              <w:numPr>
                <w:ilvl w:val="0"/>
                <w:numId w:val="24"/>
              </w:numPr>
            </w:pPr>
            <w:r>
              <w:t>Creating representations of Australian identifies, places, events and concepts</w:t>
            </w:r>
          </w:p>
        </w:tc>
      </w:tr>
    </w:tbl>
    <w:p w:rsidR="007D59ED" w:rsidRDefault="007D59ED" w:rsidP="007D59ED">
      <w:pPr>
        <w:pStyle w:val="Heading3"/>
      </w:pPr>
      <w:bookmarkStart w:id="156" w:name="_Toc16163533"/>
      <w:r>
        <w:t>Assessment</w:t>
      </w:r>
      <w:bookmarkEnd w:id="156"/>
    </w:p>
    <w:p w:rsidR="000D2D7A" w:rsidRDefault="000D2D7A" w:rsidP="000D2D7A">
      <w:pPr>
        <w:pStyle w:val="BodyText"/>
      </w:pPr>
      <w:r>
        <w:t>S</w:t>
      </w:r>
      <w:r w:rsidRPr="008C3C06">
        <w:t>chools devise assessment</w:t>
      </w:r>
      <w:r>
        <w:t>s</w:t>
      </w:r>
      <w:r w:rsidRPr="008C3C06">
        <w:t xml:space="preserve"> </w:t>
      </w:r>
      <w:r>
        <w:t>i</w:t>
      </w:r>
      <w:r w:rsidRPr="008C3C06">
        <w:t>n Units 1 and 2 to suit their local context.</w:t>
      </w:r>
      <w:r>
        <w:t xml:space="preserve"> </w:t>
      </w:r>
    </w:p>
    <w:p w:rsidR="007D59ED" w:rsidRDefault="000D2D7A" w:rsidP="008A0611">
      <w:pPr>
        <w:pStyle w:val="BodyText"/>
        <w:rPr>
          <w:noProof/>
        </w:rPr>
      </w:pPr>
      <w:r>
        <w:t>I</w:t>
      </w:r>
      <w:r w:rsidRPr="008C3C06">
        <w:t xml:space="preserve">n Units 3 and 4 </w:t>
      </w:r>
      <w:r>
        <w:t>s</w:t>
      </w:r>
      <w:r w:rsidRPr="008C3C06">
        <w:t>tudents complete four summative assessments</w:t>
      </w:r>
      <w:r>
        <w:t>.</w:t>
      </w:r>
      <w:r w:rsidR="00DA5DBB">
        <w:t xml:space="preserve"> </w:t>
      </w:r>
      <w:r w:rsidR="008B5DA1" w:rsidRPr="00815C44">
        <w:rPr>
          <w:noProof/>
        </w:rPr>
        <w:t xml:space="preserve">Schools develop three summative internal assessments and the common internal assessment (CIA) </w:t>
      </w:r>
      <w:r w:rsidR="008B5DA1">
        <w:rPr>
          <w:noProof/>
        </w:rPr>
        <w:t>is developed by the QCAA.</w:t>
      </w:r>
    </w:p>
    <w:p w:rsidR="00DA5DBB" w:rsidRDefault="00DA5DBB" w:rsidP="00D72BFA">
      <w:pPr>
        <w:pStyle w:val="Caption"/>
        <w:rPr>
          <w:noProof/>
        </w:rPr>
      </w:pPr>
      <w:r>
        <w:rPr>
          <w:noProof/>
        </w:rPr>
        <w:t>Summative assessments</w:t>
      </w:r>
    </w:p>
    <w:tbl>
      <w:tblPr>
        <w:tblStyle w:val="QCAAtablestyle1"/>
        <w:tblW w:w="4900" w:type="pct"/>
        <w:tblLayout w:type="fixed"/>
        <w:tblLook w:val="04A0" w:firstRow="1" w:lastRow="0" w:firstColumn="1" w:lastColumn="0" w:noHBand="0" w:noVBand="1"/>
      </w:tblPr>
      <w:tblGrid>
        <w:gridCol w:w="4510"/>
        <w:gridCol w:w="4370"/>
      </w:tblGrid>
      <w:tr w:rsidR="00106F3D" w:rsidTr="00667C6A">
        <w:trPr>
          <w:cnfStyle w:val="100000000000" w:firstRow="1" w:lastRow="0" w:firstColumn="0" w:lastColumn="0" w:oddVBand="0" w:evenVBand="0" w:oddHBand="0" w:evenHBand="0" w:firstRowFirstColumn="0" w:firstRowLastColumn="0" w:lastRowFirstColumn="0" w:lastRowLastColumn="0"/>
        </w:trPr>
        <w:tc>
          <w:tcPr>
            <w:tcW w:w="4536" w:type="dxa"/>
          </w:tcPr>
          <w:p w:rsidR="00106F3D" w:rsidRDefault="00106F3D" w:rsidP="00B943B4">
            <w:pPr>
              <w:pStyle w:val="Tableheading"/>
            </w:pPr>
            <w:r>
              <w:t>Unit 3</w:t>
            </w:r>
          </w:p>
        </w:tc>
        <w:tc>
          <w:tcPr>
            <w:tcW w:w="4395" w:type="dxa"/>
          </w:tcPr>
          <w:p w:rsidR="00106F3D" w:rsidRDefault="00106F3D" w:rsidP="00B943B4">
            <w:pPr>
              <w:pStyle w:val="Tableheading"/>
            </w:pPr>
            <w:r>
              <w:t>Unit 4</w:t>
            </w:r>
          </w:p>
        </w:tc>
      </w:tr>
      <w:tr w:rsidR="00F0296B" w:rsidTr="00667C6A">
        <w:tc>
          <w:tcPr>
            <w:tcW w:w="4536" w:type="dxa"/>
          </w:tcPr>
          <w:p w:rsidR="00F0296B" w:rsidRDefault="00F0296B" w:rsidP="00B943B4">
            <w:pPr>
              <w:pStyle w:val="Tabletext"/>
            </w:pPr>
            <w:r>
              <w:t xml:space="preserve">Summative internal assessment 1 (IA1): </w:t>
            </w:r>
          </w:p>
          <w:p w:rsidR="00F0296B" w:rsidRDefault="00F0296B" w:rsidP="008C3C06">
            <w:pPr>
              <w:pStyle w:val="TableBullet"/>
              <w:numPr>
                <w:ilvl w:val="0"/>
                <w:numId w:val="24"/>
              </w:numPr>
            </w:pPr>
            <w:r>
              <w:t>Extended response — spoken/signed response</w:t>
            </w:r>
          </w:p>
        </w:tc>
        <w:tc>
          <w:tcPr>
            <w:tcW w:w="4395" w:type="dxa"/>
          </w:tcPr>
          <w:p w:rsidR="00F0296B" w:rsidRDefault="00F0296B" w:rsidP="00B943B4">
            <w:pPr>
              <w:pStyle w:val="Tabletext"/>
            </w:pPr>
            <w:r>
              <w:t xml:space="preserve">Summative internal assessment 3 (IA3): </w:t>
            </w:r>
          </w:p>
          <w:p w:rsidR="00F0296B" w:rsidRDefault="00F0296B" w:rsidP="008C3C06">
            <w:pPr>
              <w:pStyle w:val="TableBullet"/>
              <w:numPr>
                <w:ilvl w:val="0"/>
                <w:numId w:val="24"/>
              </w:numPr>
            </w:pPr>
            <w:r>
              <w:t>Extended response — Multimodal response</w:t>
            </w:r>
          </w:p>
        </w:tc>
      </w:tr>
      <w:tr w:rsidR="00F0296B" w:rsidTr="00667C6A">
        <w:tc>
          <w:tcPr>
            <w:tcW w:w="4536" w:type="dxa"/>
          </w:tcPr>
          <w:p w:rsidR="00F0296B" w:rsidRDefault="00F0296B" w:rsidP="00B943B4">
            <w:pPr>
              <w:pStyle w:val="Tabletext"/>
            </w:pPr>
            <w:r>
              <w:t>Summati</w:t>
            </w:r>
            <w:r w:rsidR="008C2D83">
              <w:t>ve internal assessment 2 (IA2):</w:t>
            </w:r>
            <w:r>
              <w:t xml:space="preserve"> </w:t>
            </w:r>
          </w:p>
          <w:p w:rsidR="00F0296B" w:rsidRDefault="00F0296B" w:rsidP="008C3C06">
            <w:pPr>
              <w:pStyle w:val="TableBullet"/>
              <w:numPr>
                <w:ilvl w:val="0"/>
                <w:numId w:val="24"/>
              </w:numPr>
            </w:pPr>
            <w:r>
              <w:t>Common internal assessment (CIA)</w:t>
            </w:r>
          </w:p>
        </w:tc>
        <w:tc>
          <w:tcPr>
            <w:tcW w:w="4395" w:type="dxa"/>
          </w:tcPr>
          <w:p w:rsidR="00F0296B" w:rsidRDefault="00F0296B" w:rsidP="00B943B4">
            <w:pPr>
              <w:pStyle w:val="Tabletext"/>
            </w:pPr>
            <w:r>
              <w:t xml:space="preserve">Summative internal assessment (IA4): </w:t>
            </w:r>
          </w:p>
          <w:p w:rsidR="00F0296B" w:rsidRDefault="00F0296B" w:rsidP="008C3C06">
            <w:pPr>
              <w:pStyle w:val="TableBullet"/>
              <w:numPr>
                <w:ilvl w:val="0"/>
                <w:numId w:val="24"/>
              </w:numPr>
            </w:pPr>
            <w:r>
              <w:t>Extended response — Written response</w:t>
            </w:r>
          </w:p>
        </w:tc>
      </w:tr>
    </w:tbl>
    <w:p w:rsidR="007D59ED" w:rsidRDefault="007D59ED" w:rsidP="007D59ED"/>
    <w:bookmarkEnd w:id="152"/>
    <w:p w:rsidR="007D59ED" w:rsidRDefault="007D59ED" w:rsidP="007D59ED">
      <w:r>
        <w:br w:type="page"/>
      </w:r>
    </w:p>
    <w:p w:rsidR="002512F3" w:rsidRDefault="002512F3" w:rsidP="002512F3"/>
    <w:p w:rsidR="006268C0" w:rsidRDefault="006268C0" w:rsidP="006268C0"/>
    <w:tbl>
      <w:tblPr>
        <w:tblStyle w:val="TextLayout"/>
        <w:tblW w:w="5650" w:type="pct"/>
        <w:tblInd w:w="-170" w:type="dxa"/>
        <w:tblLayout w:type="fixed"/>
        <w:tblLook w:val="04A0" w:firstRow="1" w:lastRow="0" w:firstColumn="1" w:lastColumn="0" w:noHBand="0" w:noVBand="1"/>
      </w:tblPr>
      <w:tblGrid>
        <w:gridCol w:w="141"/>
        <w:gridCol w:w="9264"/>
        <w:gridCol w:w="845"/>
      </w:tblGrid>
      <w:tr w:rsidR="00BE0C34" w:rsidRPr="003B6F39" w:rsidTr="00BE0C34">
        <w:trPr>
          <w:trHeight w:hRule="exact" w:val="851"/>
        </w:trPr>
        <w:tc>
          <w:tcPr>
            <w:tcW w:w="142" w:type="dxa"/>
            <w:shd w:val="clear" w:color="auto" w:fill="E1231A"/>
          </w:tcPr>
          <w:p w:rsidR="00BE0C34" w:rsidRDefault="00BE0C34" w:rsidP="00BE0C34">
            <w:pPr>
              <w:pStyle w:val="Tabletext"/>
            </w:pPr>
          </w:p>
        </w:tc>
        <w:tc>
          <w:tcPr>
            <w:tcW w:w="9323" w:type="dxa"/>
            <w:tcMar>
              <w:left w:w="57" w:type="dxa"/>
            </w:tcMar>
            <w:vAlign w:val="center"/>
          </w:tcPr>
          <w:p w:rsidR="00BE0C34" w:rsidRDefault="00BE0C34" w:rsidP="00CD2D5C">
            <w:pPr>
              <w:pStyle w:val="SubjectHeading"/>
            </w:pPr>
            <w:r>
              <w:t>Ancient History</w:t>
            </w:r>
          </w:p>
          <w:p w:rsidR="00BE0C34" w:rsidRPr="00E86C01" w:rsidRDefault="00BE0C34" w:rsidP="00BE0C34">
            <w:pPr>
              <w:pStyle w:val="Heading3"/>
              <w:spacing w:before="0" w:after="0"/>
            </w:pPr>
            <w:bookmarkStart w:id="157" w:name="_Toc16163534"/>
            <w:r>
              <w:t>General senior subject</w:t>
            </w:r>
            <w:bookmarkEnd w:id="157"/>
          </w:p>
        </w:tc>
        <w:tc>
          <w:tcPr>
            <w:tcW w:w="850" w:type="dxa"/>
            <w:shd w:val="clear" w:color="auto" w:fill="E1231A"/>
            <w:tcMar>
              <w:bottom w:w="28" w:type="dxa"/>
              <w:right w:w="57" w:type="dxa"/>
            </w:tcMar>
            <w:vAlign w:val="bottom"/>
          </w:tcPr>
          <w:p w:rsidR="00BE0C34" w:rsidRPr="00BE0C34" w:rsidRDefault="00BE0C34" w:rsidP="00BE0C34">
            <w:pPr>
              <w:pStyle w:val="Heading3"/>
              <w:spacing w:before="0" w:after="100" w:afterAutospacing="1"/>
              <w:jc w:val="right"/>
              <w:rPr>
                <w:color w:val="FFFFFF" w:themeColor="background1"/>
                <w:sz w:val="17"/>
                <w:szCs w:val="17"/>
              </w:rPr>
            </w:pPr>
            <w:bookmarkStart w:id="158" w:name="_Toc16163535"/>
            <w:r w:rsidRPr="00BE0C34">
              <w:rPr>
                <w:color w:val="FFFFFF" w:themeColor="background1"/>
                <w:sz w:val="17"/>
                <w:szCs w:val="17"/>
              </w:rPr>
              <w:t>General</w:t>
            </w:r>
            <w:bookmarkEnd w:id="158"/>
          </w:p>
        </w:tc>
      </w:tr>
      <w:tr w:rsidR="00BE0C34" w:rsidRPr="003B6F39" w:rsidTr="00BE0C34">
        <w:trPr>
          <w:trHeight w:hRule="exact" w:val="113"/>
        </w:trPr>
        <w:tc>
          <w:tcPr>
            <w:tcW w:w="10315" w:type="dxa"/>
            <w:gridSpan w:val="3"/>
            <w:shd w:val="clear" w:color="auto" w:fill="auto"/>
          </w:tcPr>
          <w:p w:rsidR="00BE0C34" w:rsidRPr="00E86C01" w:rsidRDefault="00BE0C34" w:rsidP="00BE0C34">
            <w:pPr>
              <w:pStyle w:val="Smallspace"/>
            </w:pPr>
          </w:p>
        </w:tc>
      </w:tr>
    </w:tbl>
    <w:p w:rsidR="006B7BA8" w:rsidRDefault="006B7BA8" w:rsidP="00AF468C">
      <w:pPr>
        <w:pStyle w:val="BodyText"/>
        <w:spacing w:before="120"/>
        <w:rPr>
          <w:noProof/>
        </w:rPr>
        <w:sectPr w:rsidR="006B7BA8" w:rsidSect="005F3A96">
          <w:headerReference w:type="default" r:id="rId28"/>
          <w:type w:val="continuous"/>
          <w:pgSz w:w="11907" w:h="16840" w:code="9"/>
          <w:pgMar w:top="1134" w:right="1418" w:bottom="1701" w:left="1418" w:header="567" w:footer="284" w:gutter="0"/>
          <w:cols w:space="720"/>
          <w:formProt w:val="0"/>
          <w:noEndnote/>
          <w:docGrid w:linePitch="299"/>
        </w:sectPr>
      </w:pPr>
    </w:p>
    <w:p w:rsidR="006B7BA8" w:rsidRPr="00BB25BD" w:rsidRDefault="006B7BA8" w:rsidP="006B7BA8">
      <w:pPr>
        <w:pStyle w:val="BodyText"/>
      </w:pPr>
      <w:r w:rsidRPr="002E14D3">
        <w:rPr>
          <w:rStyle w:val="crossreference0"/>
        </w:rPr>
        <w:t>Ancient</w:t>
      </w:r>
      <w:r w:rsidRPr="00700191">
        <w:t xml:space="preserve"> History </w:t>
      </w:r>
      <w:r>
        <w:t>provides opportunities for students to study</w:t>
      </w:r>
      <w:r w:rsidRPr="00700191">
        <w:t xml:space="preserve"> people, societies and civilisations of the past, from the development of the earliest human communities to the end of the Middle Ages. Students explore the interaction of societies</w:t>
      </w:r>
      <w:r w:rsidR="002B56B1">
        <w:t>,</w:t>
      </w:r>
      <w:r w:rsidRPr="00700191">
        <w:t xml:space="preserve"> and the impact of individuals and groups on </w:t>
      </w:r>
      <w:r w:rsidRPr="00BB25BD">
        <w:t>ancient events and ways of life</w:t>
      </w:r>
      <w:r w:rsidR="002B56B1">
        <w:t>,</w:t>
      </w:r>
      <w:r>
        <w:t xml:space="preserve"> and study </w:t>
      </w:r>
      <w:r w:rsidRPr="00700191">
        <w:t xml:space="preserve">the development of some features of modern society, such as social organisation, systems of law, governance and religion. </w:t>
      </w:r>
    </w:p>
    <w:p w:rsidR="006B7BA8" w:rsidRPr="00BB25BD" w:rsidRDefault="006B7BA8" w:rsidP="006B7BA8">
      <w:pPr>
        <w:pStyle w:val="BodyText"/>
      </w:pPr>
      <w:r>
        <w:t>Students</w:t>
      </w:r>
      <w:r w:rsidRPr="00700191">
        <w:t xml:space="preserve"> </w:t>
      </w:r>
      <w:r>
        <w:t>analyse and interpret</w:t>
      </w:r>
      <w:r w:rsidRPr="00700191">
        <w:t xml:space="preserve"> archaeological and written evidence. </w:t>
      </w:r>
      <w:r>
        <w:t>They</w:t>
      </w:r>
      <w:r w:rsidRPr="00700191">
        <w:t xml:space="preserve"> develop increasingly sophisticated skills and un</w:t>
      </w:r>
      <w:r w:rsidRPr="00BB25BD">
        <w:t xml:space="preserve">derstandings of historical issues and problems by interrogating the surviving evidence of ancient sites, societies, individuals and significant historical periods. </w:t>
      </w:r>
      <w:r>
        <w:t>They</w:t>
      </w:r>
      <w:r w:rsidRPr="00700191">
        <w:t xml:space="preserve"> investigate the pro</w:t>
      </w:r>
      <w:r w:rsidRPr="00BB25BD">
        <w:t>blematic nature of evidence</w:t>
      </w:r>
      <w:r>
        <w:t xml:space="preserve">, </w:t>
      </w:r>
      <w:r w:rsidRPr="00700191">
        <w:t>pose increasingly complex questions abo</w:t>
      </w:r>
      <w:r w:rsidRPr="00BB25BD">
        <w:t>ut the past</w:t>
      </w:r>
      <w:r>
        <w:t xml:space="preserve"> and</w:t>
      </w:r>
      <w:r w:rsidRPr="00700191">
        <w:t xml:space="preserve"> formulate reasoned responses. </w:t>
      </w:r>
    </w:p>
    <w:p w:rsidR="006B7BA8" w:rsidRPr="00BB25BD" w:rsidRDefault="006B7BA8" w:rsidP="006B7BA8">
      <w:pPr>
        <w:pStyle w:val="BodyText"/>
      </w:pPr>
      <w:r>
        <w:t>S</w:t>
      </w:r>
      <w:r w:rsidRPr="00700191">
        <w:t xml:space="preserve">tudents </w:t>
      </w:r>
      <w:r>
        <w:t>gain</w:t>
      </w:r>
      <w:r w:rsidRPr="00700191">
        <w:t xml:space="preserve"> multi-disciplinary skills in analysing textual and visual sources, constructing arguments, challenging assumptions, and thinking both creatively and critically. </w:t>
      </w:r>
    </w:p>
    <w:p w:rsidR="006B7BA8" w:rsidRDefault="006B7BA8" w:rsidP="00B421EB">
      <w:pPr>
        <w:pStyle w:val="Heading3"/>
        <w:spacing w:before="120"/>
      </w:pPr>
      <w:bookmarkStart w:id="159" w:name="_Toc16163536"/>
      <w:r>
        <w:t>Pathways</w:t>
      </w:r>
      <w:bookmarkEnd w:id="159"/>
    </w:p>
    <w:p w:rsidR="006B7BA8" w:rsidRPr="004D5C4A" w:rsidRDefault="006B7BA8" w:rsidP="006B7BA8">
      <w:pPr>
        <w:pStyle w:val="BodyText"/>
      </w:pPr>
      <w:r w:rsidRPr="002E14D3">
        <w:t xml:space="preserve">A course of study in Ancient History can establish a basis for further education and employment in the fields of archaeology, history, education, psychology, sociology, law, business, economics, politics, journalism, the media, health and social sciences, writing, academia and research. </w:t>
      </w:r>
    </w:p>
    <w:p w:rsidR="006B7BA8" w:rsidRDefault="006B7BA8" w:rsidP="006B7BA8">
      <w:pPr>
        <w:pStyle w:val="Heading3"/>
      </w:pPr>
      <w:bookmarkStart w:id="160" w:name="_Toc16163537"/>
      <w:r>
        <w:t>Objectives</w:t>
      </w:r>
      <w:bookmarkEnd w:id="160"/>
    </w:p>
    <w:p w:rsidR="006B7BA8" w:rsidRDefault="006B7BA8" w:rsidP="006B7BA8">
      <w:pPr>
        <w:pStyle w:val="BodyText"/>
        <w:rPr>
          <w:noProof/>
        </w:rPr>
      </w:pPr>
      <w:r>
        <w:rPr>
          <w:noProof/>
        </w:rPr>
        <w:t>By the conclusion of the course of study, students will:</w:t>
      </w:r>
    </w:p>
    <w:p w:rsidR="006B7BA8" w:rsidRPr="002B67C5" w:rsidRDefault="006B7BA8" w:rsidP="006B7BA8">
      <w:pPr>
        <w:pStyle w:val="ListBullet0"/>
      </w:pPr>
      <w:r w:rsidRPr="002E14D3">
        <w:t>comprehend terms, issues and concepts</w:t>
      </w:r>
    </w:p>
    <w:p w:rsidR="006B7BA8" w:rsidRPr="002E14D3" w:rsidRDefault="006B7BA8" w:rsidP="006B7BA8">
      <w:pPr>
        <w:pStyle w:val="ListBullet0"/>
      </w:pPr>
      <w:r w:rsidRPr="002E14D3">
        <w:t>devise historical questions and conduct research</w:t>
      </w:r>
    </w:p>
    <w:p w:rsidR="006B7BA8" w:rsidRPr="002B67C5" w:rsidRDefault="006B7BA8" w:rsidP="006B7BA8">
      <w:pPr>
        <w:pStyle w:val="ListBullet0"/>
      </w:pPr>
      <w:r w:rsidRPr="002E14D3">
        <w:t>analyse historical sources and evidence</w:t>
      </w:r>
    </w:p>
    <w:p w:rsidR="006B7BA8" w:rsidRPr="002E14D3" w:rsidRDefault="006B7BA8" w:rsidP="006B7BA8">
      <w:pPr>
        <w:pStyle w:val="ListBullet0"/>
      </w:pPr>
      <w:r w:rsidRPr="002E14D3">
        <w:t>synthesise information from historical sources and evidence</w:t>
      </w:r>
    </w:p>
    <w:p w:rsidR="006B7BA8" w:rsidRPr="002E14D3" w:rsidRDefault="006B7BA8" w:rsidP="006B7BA8">
      <w:pPr>
        <w:pStyle w:val="ListBullet0"/>
      </w:pPr>
      <w:r w:rsidRPr="002E14D3">
        <w:t>evaluate historical interpretations</w:t>
      </w:r>
    </w:p>
    <w:p w:rsidR="006B7BA8" w:rsidRPr="002E14D3" w:rsidRDefault="006B7BA8" w:rsidP="006B7BA8">
      <w:pPr>
        <w:pStyle w:val="ListBullet0"/>
      </w:pPr>
      <w:r w:rsidRPr="002E14D3">
        <w:t>create responses that communicate meaning.</w:t>
      </w:r>
    </w:p>
    <w:p w:rsidR="006B7BA8" w:rsidRDefault="006B7BA8" w:rsidP="0047472D">
      <w:pPr>
        <w:pStyle w:val="Heading3"/>
        <w:sectPr w:rsidR="006B7BA8" w:rsidSect="005F3A96">
          <w:type w:val="continuous"/>
          <w:pgSz w:w="11907" w:h="16840" w:code="9"/>
          <w:pgMar w:top="1134" w:right="1418" w:bottom="1701" w:left="1418" w:header="567" w:footer="284" w:gutter="0"/>
          <w:cols w:num="2" w:space="720"/>
          <w:formProt w:val="0"/>
          <w:noEndnote/>
          <w:docGrid w:linePitch="299"/>
        </w:sectPr>
      </w:pPr>
    </w:p>
    <w:p w:rsidR="0047472D" w:rsidRDefault="0047472D" w:rsidP="0047472D">
      <w:pPr>
        <w:pStyle w:val="Heading3"/>
      </w:pPr>
      <w:bookmarkStart w:id="161" w:name="_Toc16163538"/>
      <w:r>
        <w:t>Structure</w:t>
      </w:r>
      <w:bookmarkEnd w:id="161"/>
    </w:p>
    <w:tbl>
      <w:tblPr>
        <w:tblStyle w:val="QCAAtablestyle1"/>
        <w:tblW w:w="5000" w:type="pct"/>
        <w:tblLook w:val="04A0" w:firstRow="1" w:lastRow="0" w:firstColumn="1" w:lastColumn="0" w:noHBand="0" w:noVBand="1"/>
      </w:tblPr>
      <w:tblGrid>
        <w:gridCol w:w="2209"/>
        <w:gridCol w:w="2212"/>
        <w:gridCol w:w="2212"/>
        <w:gridCol w:w="2428"/>
      </w:tblGrid>
      <w:tr w:rsidR="0047472D" w:rsidTr="004F2033">
        <w:trPr>
          <w:cnfStyle w:val="100000000000" w:firstRow="1" w:lastRow="0" w:firstColumn="0" w:lastColumn="0" w:oddVBand="0" w:evenVBand="0" w:oddHBand="0" w:evenHBand="0" w:firstRowFirstColumn="0" w:firstRowLastColumn="0" w:lastRowFirstColumn="0" w:lastRowLastColumn="0"/>
          <w:tblHeader/>
        </w:trPr>
        <w:tc>
          <w:tcPr>
            <w:tcW w:w="2209" w:type="dxa"/>
          </w:tcPr>
          <w:p w:rsidR="0047472D" w:rsidRDefault="0047472D" w:rsidP="006A4F57">
            <w:pPr>
              <w:pStyle w:val="TableHeading0"/>
            </w:pPr>
            <w:r>
              <w:t>Unit 1</w:t>
            </w:r>
          </w:p>
        </w:tc>
        <w:tc>
          <w:tcPr>
            <w:tcW w:w="2212" w:type="dxa"/>
          </w:tcPr>
          <w:p w:rsidR="0047472D" w:rsidRDefault="0047472D" w:rsidP="006A4F57">
            <w:pPr>
              <w:pStyle w:val="TableHeading0"/>
            </w:pPr>
            <w:r>
              <w:t>Unit 2</w:t>
            </w:r>
          </w:p>
        </w:tc>
        <w:tc>
          <w:tcPr>
            <w:tcW w:w="2212" w:type="dxa"/>
          </w:tcPr>
          <w:p w:rsidR="0047472D" w:rsidRDefault="0047472D" w:rsidP="006A4F57">
            <w:pPr>
              <w:pStyle w:val="TableHeading0"/>
            </w:pPr>
            <w:r>
              <w:t>Unit 3</w:t>
            </w:r>
          </w:p>
        </w:tc>
        <w:tc>
          <w:tcPr>
            <w:tcW w:w="2428" w:type="dxa"/>
          </w:tcPr>
          <w:p w:rsidR="0047472D" w:rsidRDefault="0047472D" w:rsidP="006A4F57">
            <w:pPr>
              <w:pStyle w:val="TableHeading0"/>
            </w:pPr>
            <w:r>
              <w:t>Unit 4</w:t>
            </w:r>
          </w:p>
        </w:tc>
      </w:tr>
      <w:tr w:rsidR="006B7BA8" w:rsidTr="006B7BA8">
        <w:tc>
          <w:tcPr>
            <w:tcW w:w="2209" w:type="dxa"/>
          </w:tcPr>
          <w:p w:rsidR="006B7BA8" w:rsidRPr="006B7BA8" w:rsidRDefault="006B7BA8" w:rsidP="006B7BA8">
            <w:pPr>
              <w:pStyle w:val="Tabletext"/>
              <w:rPr>
                <w:b/>
              </w:rPr>
            </w:pPr>
            <w:r w:rsidRPr="006B7BA8">
              <w:rPr>
                <w:b/>
              </w:rPr>
              <w:t>Investigating the ancient world</w:t>
            </w:r>
          </w:p>
          <w:p w:rsidR="006B7BA8" w:rsidRPr="002B67C5" w:rsidRDefault="006B7BA8" w:rsidP="006B7BA8">
            <w:pPr>
              <w:pStyle w:val="TableBullet"/>
            </w:pPr>
            <w:r>
              <w:t>Digging up the past</w:t>
            </w:r>
          </w:p>
          <w:p w:rsidR="006B7BA8" w:rsidRPr="002B67C5" w:rsidRDefault="006B7BA8" w:rsidP="006B7BA8">
            <w:pPr>
              <w:pStyle w:val="TableBullet"/>
            </w:pPr>
            <w:r w:rsidRPr="002B67C5">
              <w:t>Ancient societies — Slavery</w:t>
            </w:r>
          </w:p>
          <w:p w:rsidR="006B7BA8" w:rsidRPr="002B67C5" w:rsidRDefault="006B7BA8" w:rsidP="006B7BA8">
            <w:pPr>
              <w:pStyle w:val="TableBullet"/>
            </w:pPr>
            <w:r w:rsidRPr="002B67C5">
              <w:t>Ancient societies — Art and architecture</w:t>
            </w:r>
          </w:p>
          <w:p w:rsidR="006B7BA8" w:rsidRPr="002B67C5" w:rsidRDefault="006B7BA8" w:rsidP="006B7BA8">
            <w:pPr>
              <w:pStyle w:val="TableBullet"/>
            </w:pPr>
            <w:r w:rsidRPr="002B67C5">
              <w:t>Ancient societies — Weapons and warfare</w:t>
            </w:r>
          </w:p>
          <w:p w:rsidR="006B7BA8" w:rsidRPr="002B67C5" w:rsidRDefault="006B7BA8" w:rsidP="006B7BA8">
            <w:pPr>
              <w:pStyle w:val="TableBullet"/>
            </w:pPr>
            <w:r w:rsidRPr="002B67C5">
              <w:t>Ancient societies — Technology and engineering</w:t>
            </w:r>
          </w:p>
          <w:p w:rsidR="006B7BA8" w:rsidRPr="004F2033" w:rsidRDefault="006B7BA8" w:rsidP="006B7BA8">
            <w:pPr>
              <w:pStyle w:val="TableBullet"/>
              <w:rPr>
                <w:spacing w:val="-2"/>
              </w:rPr>
            </w:pPr>
            <w:r w:rsidRPr="004F2033">
              <w:rPr>
                <w:spacing w:val="-2"/>
              </w:rPr>
              <w:t>Ancient societies — The family</w:t>
            </w:r>
          </w:p>
          <w:p w:rsidR="006B7BA8" w:rsidRDefault="006B7BA8" w:rsidP="006B7BA8">
            <w:pPr>
              <w:pStyle w:val="TableBullet"/>
            </w:pPr>
            <w:r w:rsidRPr="002B67C5">
              <w:t>Ancient societies — Beliefs, rituals and funerary practices.</w:t>
            </w:r>
          </w:p>
        </w:tc>
        <w:tc>
          <w:tcPr>
            <w:tcW w:w="2212" w:type="dxa"/>
          </w:tcPr>
          <w:p w:rsidR="006B7BA8" w:rsidRPr="006B7BA8" w:rsidRDefault="006B7BA8" w:rsidP="006B7BA8">
            <w:pPr>
              <w:pStyle w:val="Tabletext"/>
              <w:rPr>
                <w:b/>
              </w:rPr>
            </w:pPr>
            <w:r w:rsidRPr="006B7BA8">
              <w:rPr>
                <w:b/>
              </w:rPr>
              <w:t>Personalities in their time</w:t>
            </w:r>
          </w:p>
          <w:p w:rsidR="006B7BA8" w:rsidRPr="002B67C5" w:rsidRDefault="006B7BA8" w:rsidP="006B7BA8">
            <w:pPr>
              <w:pStyle w:val="TableBullet"/>
            </w:pPr>
            <w:r w:rsidRPr="002B67C5">
              <w:t>Hatshepsut</w:t>
            </w:r>
          </w:p>
          <w:p w:rsidR="006B7BA8" w:rsidRPr="002B67C5" w:rsidRDefault="006B7BA8" w:rsidP="006B7BA8">
            <w:pPr>
              <w:pStyle w:val="TableBullet"/>
            </w:pPr>
            <w:r w:rsidRPr="002B67C5">
              <w:t>Akhenaten</w:t>
            </w:r>
          </w:p>
          <w:p w:rsidR="006B7BA8" w:rsidRPr="002B67C5" w:rsidRDefault="006B7BA8" w:rsidP="006B7BA8">
            <w:pPr>
              <w:pStyle w:val="TableBullet"/>
            </w:pPr>
            <w:r w:rsidRPr="002B67C5">
              <w:t>Xerxes</w:t>
            </w:r>
          </w:p>
          <w:p w:rsidR="006B7BA8" w:rsidRPr="002B67C5" w:rsidRDefault="006B7BA8" w:rsidP="006B7BA8">
            <w:pPr>
              <w:pStyle w:val="TableBullet"/>
            </w:pPr>
            <w:r w:rsidRPr="002B67C5">
              <w:t>Perikles</w:t>
            </w:r>
          </w:p>
          <w:p w:rsidR="006B7BA8" w:rsidRPr="002B67C5" w:rsidRDefault="006B7BA8" w:rsidP="006B7BA8">
            <w:pPr>
              <w:pStyle w:val="TableBullet"/>
            </w:pPr>
            <w:r w:rsidRPr="002B67C5">
              <w:t>Alexander the Great</w:t>
            </w:r>
          </w:p>
          <w:p w:rsidR="006B7BA8" w:rsidRPr="002B67C5" w:rsidRDefault="006B7BA8" w:rsidP="006B7BA8">
            <w:pPr>
              <w:pStyle w:val="TableBullet"/>
            </w:pPr>
            <w:r w:rsidRPr="002B67C5">
              <w:t>Hannibal Barca</w:t>
            </w:r>
          </w:p>
          <w:p w:rsidR="006B7BA8" w:rsidRPr="002B67C5" w:rsidRDefault="006B7BA8" w:rsidP="006B7BA8">
            <w:pPr>
              <w:pStyle w:val="TableBullet"/>
            </w:pPr>
            <w:r w:rsidRPr="002B67C5">
              <w:t>Cleopatra</w:t>
            </w:r>
          </w:p>
          <w:p w:rsidR="006B7BA8" w:rsidRPr="002B67C5" w:rsidRDefault="006B7BA8" w:rsidP="006B7BA8">
            <w:pPr>
              <w:pStyle w:val="TableBullet"/>
            </w:pPr>
            <w:r w:rsidRPr="002B67C5">
              <w:t>Agrippina the Younger</w:t>
            </w:r>
          </w:p>
          <w:p w:rsidR="006B7BA8" w:rsidRPr="002B67C5" w:rsidRDefault="006B7BA8" w:rsidP="006B7BA8">
            <w:pPr>
              <w:pStyle w:val="TableBullet"/>
            </w:pPr>
            <w:r w:rsidRPr="002B67C5">
              <w:t>Nero</w:t>
            </w:r>
          </w:p>
          <w:p w:rsidR="006B7BA8" w:rsidRPr="002B67C5" w:rsidRDefault="006B7BA8" w:rsidP="006B7BA8">
            <w:pPr>
              <w:pStyle w:val="TableBullet"/>
            </w:pPr>
            <w:r w:rsidRPr="002B67C5">
              <w:t>Boudica</w:t>
            </w:r>
          </w:p>
          <w:p w:rsidR="006B7BA8" w:rsidRPr="002B67C5" w:rsidRDefault="006B7BA8" w:rsidP="006B7BA8">
            <w:pPr>
              <w:pStyle w:val="TableBullet"/>
            </w:pPr>
            <w:r w:rsidRPr="002B67C5">
              <w:t>Cao Cao</w:t>
            </w:r>
          </w:p>
          <w:p w:rsidR="006B7BA8" w:rsidRPr="002B67C5" w:rsidRDefault="006B7BA8" w:rsidP="006B7BA8">
            <w:pPr>
              <w:pStyle w:val="TableBullet"/>
            </w:pPr>
            <w:r w:rsidRPr="002B67C5">
              <w:t>Saladin (An-Nasir Salah ad-Din Yusuf ibn Ayyub)</w:t>
            </w:r>
          </w:p>
          <w:p w:rsidR="006B7BA8" w:rsidRPr="002B67C5" w:rsidRDefault="006B7BA8" w:rsidP="006B7BA8">
            <w:pPr>
              <w:pStyle w:val="TableBullet"/>
            </w:pPr>
            <w:r w:rsidRPr="002B67C5">
              <w:t>Richard the Lionheart</w:t>
            </w:r>
          </w:p>
          <w:p w:rsidR="006B7BA8" w:rsidRDefault="006B7BA8" w:rsidP="006B7BA8">
            <w:pPr>
              <w:pStyle w:val="TableBullet"/>
            </w:pPr>
            <w:r w:rsidRPr="002E14D3">
              <w:t>Alternative choice of personality</w:t>
            </w:r>
          </w:p>
        </w:tc>
        <w:tc>
          <w:tcPr>
            <w:tcW w:w="2212" w:type="dxa"/>
            <w:shd w:val="clear" w:color="auto" w:fill="auto"/>
          </w:tcPr>
          <w:p w:rsidR="006B7BA8" w:rsidRPr="006B7BA8" w:rsidRDefault="006B7BA8" w:rsidP="006B7BA8">
            <w:pPr>
              <w:pStyle w:val="Tabletext"/>
              <w:rPr>
                <w:b/>
              </w:rPr>
            </w:pPr>
            <w:r w:rsidRPr="006B7BA8">
              <w:rPr>
                <w:b/>
              </w:rPr>
              <w:t>Reconstructing the ancient world</w:t>
            </w:r>
          </w:p>
          <w:p w:rsidR="006B7BA8" w:rsidRPr="002B67C5" w:rsidRDefault="006B7BA8" w:rsidP="006B7BA8">
            <w:pPr>
              <w:pStyle w:val="TableBullet"/>
            </w:pPr>
            <w:r w:rsidRPr="002B67C5">
              <w:t>Thebes — East and West, 18th Dynasty Egypt</w:t>
            </w:r>
          </w:p>
          <w:p w:rsidR="006B7BA8" w:rsidRPr="002B67C5" w:rsidRDefault="006B7BA8" w:rsidP="006B7BA8">
            <w:pPr>
              <w:pStyle w:val="TableBullet"/>
            </w:pPr>
            <w:r w:rsidRPr="002B67C5">
              <w:t>The Bronze Age Aegean</w:t>
            </w:r>
          </w:p>
          <w:p w:rsidR="006B7BA8" w:rsidRPr="002B67C5" w:rsidRDefault="006B7BA8" w:rsidP="006B7BA8">
            <w:pPr>
              <w:pStyle w:val="TableBullet"/>
            </w:pPr>
            <w:r w:rsidRPr="002B67C5">
              <w:t>Assyria from Tiglath Pileser III to the fall of the Empire</w:t>
            </w:r>
          </w:p>
          <w:p w:rsidR="006B7BA8" w:rsidRPr="002B67C5" w:rsidRDefault="006B7BA8" w:rsidP="006B7BA8">
            <w:pPr>
              <w:pStyle w:val="TableBullet"/>
            </w:pPr>
            <w:r w:rsidRPr="002B67C5">
              <w:t>Fifth Century Athens (BCE)</w:t>
            </w:r>
          </w:p>
          <w:p w:rsidR="006B7BA8" w:rsidRPr="002B67C5" w:rsidRDefault="006B7BA8" w:rsidP="006B7BA8">
            <w:pPr>
              <w:pStyle w:val="TableBullet"/>
            </w:pPr>
            <w:r w:rsidRPr="002B67C5">
              <w:t>Philip II and Alexander III of Macedon</w:t>
            </w:r>
          </w:p>
          <w:p w:rsidR="006B7BA8" w:rsidRPr="002B67C5" w:rsidRDefault="006B7BA8" w:rsidP="006B7BA8">
            <w:pPr>
              <w:pStyle w:val="TableBullet"/>
            </w:pPr>
            <w:r w:rsidRPr="002B67C5">
              <w:t>Early Imperial Rome</w:t>
            </w:r>
          </w:p>
          <w:p w:rsidR="006B7BA8" w:rsidRPr="002B67C5" w:rsidRDefault="006B7BA8" w:rsidP="006B7BA8">
            <w:pPr>
              <w:pStyle w:val="TableBullet"/>
            </w:pPr>
            <w:r w:rsidRPr="002B67C5">
              <w:t>Pompeii and Herculaneum</w:t>
            </w:r>
          </w:p>
          <w:p w:rsidR="006B7BA8" w:rsidRPr="002B67C5" w:rsidRDefault="006B7BA8" w:rsidP="006B7BA8">
            <w:pPr>
              <w:pStyle w:val="TableBullet"/>
            </w:pPr>
            <w:r w:rsidRPr="002B67C5">
              <w:t>Later Han Dynasty and the Three Kingdoms</w:t>
            </w:r>
          </w:p>
          <w:p w:rsidR="006B7BA8" w:rsidRPr="002B67C5" w:rsidRDefault="006B7BA8" w:rsidP="006B7BA8">
            <w:pPr>
              <w:pStyle w:val="TableBullet"/>
            </w:pPr>
            <w:r w:rsidRPr="002B67C5">
              <w:t>The ‘Fall’ of the Western Roman Empire</w:t>
            </w:r>
          </w:p>
          <w:p w:rsidR="006B7BA8" w:rsidRDefault="006B7BA8" w:rsidP="006B7BA8">
            <w:pPr>
              <w:pStyle w:val="TableBullet"/>
            </w:pPr>
            <w:r w:rsidRPr="002B67C5">
              <w:t>The Medieval Crusades</w:t>
            </w:r>
          </w:p>
        </w:tc>
        <w:tc>
          <w:tcPr>
            <w:tcW w:w="2428" w:type="dxa"/>
            <w:shd w:val="clear" w:color="auto" w:fill="auto"/>
          </w:tcPr>
          <w:p w:rsidR="006B7BA8" w:rsidRPr="006B7BA8" w:rsidRDefault="006B7BA8" w:rsidP="006B7BA8">
            <w:pPr>
              <w:pStyle w:val="Tabletext"/>
              <w:rPr>
                <w:b/>
              </w:rPr>
            </w:pPr>
            <w:r w:rsidRPr="006B7BA8">
              <w:rPr>
                <w:b/>
              </w:rPr>
              <w:t>People, power and authority</w:t>
            </w:r>
          </w:p>
          <w:p w:rsidR="006B7BA8" w:rsidRPr="006B7BA8" w:rsidRDefault="006B7BA8" w:rsidP="006B7BA8">
            <w:pPr>
              <w:pStyle w:val="Tabletext"/>
            </w:pPr>
            <w:r w:rsidRPr="006B7BA8">
              <w:t>Schools choose one study of power from:</w:t>
            </w:r>
          </w:p>
          <w:p w:rsidR="006B7BA8" w:rsidRPr="002B67C5" w:rsidRDefault="006B7BA8" w:rsidP="006B7BA8">
            <w:pPr>
              <w:pStyle w:val="TableBullet"/>
            </w:pPr>
            <w:r w:rsidRPr="002B67C5">
              <w:t>Ancient Egypt — New Kingdom Imperialism</w:t>
            </w:r>
          </w:p>
          <w:p w:rsidR="006B7BA8" w:rsidRPr="002B67C5" w:rsidRDefault="006B7BA8" w:rsidP="006B7BA8">
            <w:pPr>
              <w:pStyle w:val="TableBullet"/>
            </w:pPr>
            <w:r w:rsidRPr="002B67C5">
              <w:t>Ancient Greece — the Persian Wars</w:t>
            </w:r>
          </w:p>
          <w:p w:rsidR="006B7BA8" w:rsidRPr="002B67C5" w:rsidRDefault="006B7BA8" w:rsidP="006B7BA8">
            <w:pPr>
              <w:pStyle w:val="TableBullet"/>
            </w:pPr>
            <w:r w:rsidRPr="002B67C5">
              <w:t>Ancient Greece — the Peloponnesian War</w:t>
            </w:r>
          </w:p>
          <w:p w:rsidR="006B7BA8" w:rsidRPr="002B67C5" w:rsidRDefault="006B7BA8" w:rsidP="006B7BA8">
            <w:pPr>
              <w:pStyle w:val="TableBullet"/>
            </w:pPr>
            <w:r w:rsidRPr="002B67C5">
              <w:t>Ancient Rome — the Punic Wars</w:t>
            </w:r>
          </w:p>
          <w:p w:rsidR="006B7BA8" w:rsidRPr="002B67C5" w:rsidRDefault="006B7BA8" w:rsidP="006B7BA8">
            <w:pPr>
              <w:pStyle w:val="TableBullet"/>
            </w:pPr>
            <w:r w:rsidRPr="002B67C5">
              <w:t>Ancient Rome — Civil War and the breakdown of the Republic</w:t>
            </w:r>
          </w:p>
          <w:p w:rsidR="006B7BA8" w:rsidRDefault="006B7BA8" w:rsidP="006B7BA8">
            <w:pPr>
              <w:pStyle w:val="Tabletext"/>
            </w:pPr>
            <w:r>
              <w:t>QCAA will nominate one topic that will be the basis for an external examination from:</w:t>
            </w:r>
          </w:p>
          <w:p w:rsidR="006B7BA8" w:rsidRPr="002B67C5" w:rsidRDefault="006B7BA8" w:rsidP="006B7BA8">
            <w:pPr>
              <w:pStyle w:val="TableBullet"/>
            </w:pPr>
            <w:r w:rsidRPr="002B67C5">
              <w:t>Thutmose III</w:t>
            </w:r>
          </w:p>
          <w:p w:rsidR="006B7BA8" w:rsidRPr="002B67C5" w:rsidRDefault="006B7BA8" w:rsidP="006B7BA8">
            <w:pPr>
              <w:pStyle w:val="TableBullet"/>
            </w:pPr>
            <w:r w:rsidRPr="002B67C5">
              <w:t>Rameses II</w:t>
            </w:r>
          </w:p>
          <w:p w:rsidR="006B7BA8" w:rsidRPr="002B67C5" w:rsidRDefault="006B7BA8" w:rsidP="006B7BA8">
            <w:pPr>
              <w:pStyle w:val="TableBullet"/>
            </w:pPr>
            <w:r w:rsidRPr="002B67C5">
              <w:t>Themistokles</w:t>
            </w:r>
          </w:p>
          <w:p w:rsidR="006B7BA8" w:rsidRPr="002B67C5" w:rsidRDefault="006B7BA8" w:rsidP="006B7BA8">
            <w:pPr>
              <w:pStyle w:val="TableBullet"/>
            </w:pPr>
            <w:r w:rsidRPr="002B67C5">
              <w:t>Alkibiades</w:t>
            </w:r>
          </w:p>
          <w:p w:rsidR="006B7BA8" w:rsidRPr="002B67C5" w:rsidRDefault="006B7BA8" w:rsidP="006B7BA8">
            <w:pPr>
              <w:pStyle w:val="TableBullet"/>
            </w:pPr>
            <w:r w:rsidRPr="002B67C5">
              <w:t>Scipio Africanus</w:t>
            </w:r>
          </w:p>
          <w:p w:rsidR="006B7BA8" w:rsidRPr="002B67C5" w:rsidRDefault="006B7BA8" w:rsidP="006B7BA8">
            <w:pPr>
              <w:pStyle w:val="TableBullet"/>
            </w:pPr>
            <w:r w:rsidRPr="002B67C5">
              <w:t>Caesar</w:t>
            </w:r>
          </w:p>
          <w:p w:rsidR="006B7BA8" w:rsidRDefault="006B7BA8" w:rsidP="006B7BA8">
            <w:pPr>
              <w:pStyle w:val="TableBullet"/>
            </w:pPr>
            <w:r w:rsidRPr="002E14D3">
              <w:t>Augustus</w:t>
            </w:r>
          </w:p>
        </w:tc>
      </w:tr>
    </w:tbl>
    <w:p w:rsidR="006B7BA8" w:rsidRDefault="006B7BA8" w:rsidP="006B7BA8">
      <w:pPr>
        <w:pStyle w:val="Heading3"/>
      </w:pPr>
      <w:bookmarkStart w:id="162" w:name="_Toc16163539"/>
      <w:r>
        <w:t>Assessment</w:t>
      </w:r>
      <w:bookmarkEnd w:id="162"/>
    </w:p>
    <w:p w:rsidR="00B735D3" w:rsidRDefault="00B735D3" w:rsidP="00B735D3">
      <w:pPr>
        <w:pStyle w:val="BodyText"/>
      </w:pPr>
      <w:r>
        <w:t>S</w:t>
      </w:r>
      <w:r w:rsidRPr="008C3C06">
        <w:t>chools devise assessment</w:t>
      </w:r>
      <w:r>
        <w:t>s</w:t>
      </w:r>
      <w:r w:rsidRPr="008C3C06">
        <w:t xml:space="preserve"> </w:t>
      </w:r>
      <w:r>
        <w:t>i</w:t>
      </w:r>
      <w:r w:rsidRPr="008C3C06">
        <w:t>n Units 1 and 2 to suit their local context.</w:t>
      </w:r>
      <w:r>
        <w:t xml:space="preserve"> </w:t>
      </w:r>
    </w:p>
    <w:p w:rsidR="00B735D3" w:rsidRDefault="00B735D3" w:rsidP="00B735D3">
      <w:pPr>
        <w:pStyle w:val="BodyText"/>
      </w:pPr>
      <w:r>
        <w:t>I</w:t>
      </w:r>
      <w:r w:rsidRPr="008C3C06">
        <w:t xml:space="preserve">n Units 3 and 4 </w:t>
      </w:r>
      <w:r>
        <w:t>s</w:t>
      </w:r>
      <w:r w:rsidRPr="008C3C06">
        <w:t>tudents complete four summative assessments</w:t>
      </w:r>
      <w:r>
        <w:t>. The results from each of the assessments are added together to provid</w:t>
      </w:r>
      <w:r w:rsidR="006D4502">
        <w:t xml:space="preserve">e a subject score out of 100. </w:t>
      </w:r>
      <w:r>
        <w:t>Students will also receive an overall subject result (</w:t>
      </w:r>
      <w:r w:rsidR="003A1232">
        <w:t>A–E</w:t>
      </w:r>
      <w:r>
        <w:t>).</w:t>
      </w:r>
    </w:p>
    <w:p w:rsidR="000D2D7A" w:rsidRDefault="000D2D7A" w:rsidP="00D72BFA">
      <w:pPr>
        <w:pStyle w:val="Caption"/>
        <w:rPr>
          <w:noProof/>
        </w:rPr>
      </w:pPr>
      <w:r>
        <w:t>Summative assessments</w:t>
      </w:r>
    </w:p>
    <w:tbl>
      <w:tblPr>
        <w:tblStyle w:val="QCAAtablestyle1"/>
        <w:tblW w:w="4900" w:type="pct"/>
        <w:tblLayout w:type="fixed"/>
        <w:tblLook w:val="04A0" w:firstRow="1" w:lastRow="0" w:firstColumn="1" w:lastColumn="0" w:noHBand="0" w:noVBand="1"/>
      </w:tblPr>
      <w:tblGrid>
        <w:gridCol w:w="3546"/>
        <w:gridCol w:w="690"/>
        <w:gridCol w:w="3954"/>
        <w:gridCol w:w="690"/>
      </w:tblGrid>
      <w:tr w:rsidR="00106F3D" w:rsidTr="00667C6A">
        <w:trPr>
          <w:cnfStyle w:val="100000000000" w:firstRow="1" w:lastRow="0" w:firstColumn="0" w:lastColumn="0" w:oddVBand="0" w:evenVBand="0" w:oddHBand="0" w:evenHBand="0" w:firstRowFirstColumn="0" w:firstRowLastColumn="0" w:lastRowFirstColumn="0" w:lastRowLastColumn="0"/>
        </w:trPr>
        <w:tc>
          <w:tcPr>
            <w:tcW w:w="4395" w:type="dxa"/>
            <w:gridSpan w:val="2"/>
          </w:tcPr>
          <w:p w:rsidR="00106F3D" w:rsidRDefault="00106F3D" w:rsidP="006B7BA8">
            <w:pPr>
              <w:pStyle w:val="Tableheading"/>
            </w:pPr>
            <w:r>
              <w:t>Unit 3</w:t>
            </w:r>
          </w:p>
        </w:tc>
        <w:tc>
          <w:tcPr>
            <w:tcW w:w="4819" w:type="dxa"/>
            <w:gridSpan w:val="2"/>
          </w:tcPr>
          <w:p w:rsidR="00106F3D" w:rsidRDefault="00106F3D" w:rsidP="006B7BA8">
            <w:pPr>
              <w:pStyle w:val="Tableheading"/>
            </w:pPr>
            <w:r>
              <w:t>Unit 4</w:t>
            </w:r>
          </w:p>
        </w:tc>
      </w:tr>
      <w:tr w:rsidR="00106F3D" w:rsidTr="00667C6A">
        <w:tc>
          <w:tcPr>
            <w:tcW w:w="3686" w:type="dxa"/>
          </w:tcPr>
          <w:p w:rsidR="00106F3D" w:rsidRDefault="00106F3D" w:rsidP="006B7BA8">
            <w:pPr>
              <w:pStyle w:val="Tabletext"/>
            </w:pPr>
            <w:r>
              <w:t xml:space="preserve">Summative internal assessment 1 (IA1): </w:t>
            </w:r>
          </w:p>
          <w:p w:rsidR="00106F3D" w:rsidRDefault="00106F3D" w:rsidP="00501FB0">
            <w:pPr>
              <w:pStyle w:val="TableBullet"/>
            </w:pPr>
            <w:r>
              <w:t xml:space="preserve">Examination </w:t>
            </w:r>
            <w:r w:rsidR="00501FB0">
              <w:t>—</w:t>
            </w:r>
            <w:r>
              <w:t xml:space="preserve"> essay in response to historical sources</w:t>
            </w:r>
          </w:p>
        </w:tc>
        <w:tc>
          <w:tcPr>
            <w:tcW w:w="709" w:type="dxa"/>
          </w:tcPr>
          <w:p w:rsidR="00106F3D" w:rsidRDefault="00106F3D" w:rsidP="006B7BA8">
            <w:pPr>
              <w:pStyle w:val="Tabletext"/>
            </w:pPr>
            <w:r>
              <w:t>25%</w:t>
            </w:r>
          </w:p>
        </w:tc>
        <w:tc>
          <w:tcPr>
            <w:tcW w:w="4110" w:type="dxa"/>
          </w:tcPr>
          <w:p w:rsidR="00106F3D" w:rsidRDefault="00106F3D" w:rsidP="006B7BA8">
            <w:pPr>
              <w:pStyle w:val="Tabletext"/>
            </w:pPr>
            <w:r>
              <w:t xml:space="preserve">Summative internal assessment 3 (IA3): </w:t>
            </w:r>
          </w:p>
          <w:p w:rsidR="00106F3D" w:rsidRDefault="00106F3D" w:rsidP="00501FB0">
            <w:pPr>
              <w:pStyle w:val="TableBullet"/>
            </w:pPr>
            <w:r>
              <w:t xml:space="preserve">Investigation </w:t>
            </w:r>
            <w:r w:rsidR="00501FB0">
              <w:t>—</w:t>
            </w:r>
            <w:r>
              <w:t xml:space="preserve"> historical essay based on research</w:t>
            </w:r>
          </w:p>
        </w:tc>
        <w:tc>
          <w:tcPr>
            <w:tcW w:w="0" w:type="dxa"/>
          </w:tcPr>
          <w:p w:rsidR="00106F3D" w:rsidRDefault="00106F3D" w:rsidP="006B7BA8">
            <w:pPr>
              <w:pStyle w:val="Tabletext"/>
            </w:pPr>
            <w:r>
              <w:t>25%</w:t>
            </w:r>
          </w:p>
        </w:tc>
      </w:tr>
      <w:tr w:rsidR="00106F3D" w:rsidTr="00667C6A">
        <w:tc>
          <w:tcPr>
            <w:tcW w:w="3686" w:type="dxa"/>
          </w:tcPr>
          <w:p w:rsidR="00106F3D" w:rsidRDefault="00106F3D" w:rsidP="006B7BA8">
            <w:pPr>
              <w:pStyle w:val="Tabletext"/>
            </w:pPr>
            <w:r>
              <w:t>Summati</w:t>
            </w:r>
            <w:r w:rsidR="006D4502">
              <w:t>ve internal assessment 2 (IA2):</w:t>
            </w:r>
            <w:r>
              <w:t xml:space="preserve"> </w:t>
            </w:r>
          </w:p>
          <w:p w:rsidR="00106F3D" w:rsidRDefault="00106F3D" w:rsidP="008C3C06">
            <w:pPr>
              <w:pStyle w:val="TableBullet"/>
            </w:pPr>
            <w:r>
              <w:t>Independent source investigation</w:t>
            </w:r>
          </w:p>
        </w:tc>
        <w:tc>
          <w:tcPr>
            <w:tcW w:w="709" w:type="dxa"/>
          </w:tcPr>
          <w:p w:rsidR="00106F3D" w:rsidRDefault="00106F3D" w:rsidP="006B7BA8">
            <w:pPr>
              <w:pStyle w:val="Tabletext"/>
            </w:pPr>
            <w:r>
              <w:t>25%</w:t>
            </w:r>
          </w:p>
        </w:tc>
        <w:tc>
          <w:tcPr>
            <w:tcW w:w="4110" w:type="dxa"/>
          </w:tcPr>
          <w:p w:rsidR="00106F3D" w:rsidRDefault="00106F3D" w:rsidP="006B7BA8">
            <w:pPr>
              <w:pStyle w:val="Tabletext"/>
            </w:pPr>
            <w:r>
              <w:t xml:space="preserve">Summative external assessment (EA): </w:t>
            </w:r>
          </w:p>
          <w:p w:rsidR="00106F3D" w:rsidRDefault="00106F3D" w:rsidP="00501FB0">
            <w:pPr>
              <w:pStyle w:val="TableBullet"/>
            </w:pPr>
            <w:r>
              <w:t xml:space="preserve">Examination </w:t>
            </w:r>
            <w:r w:rsidR="00501FB0">
              <w:t>—</w:t>
            </w:r>
            <w:r>
              <w:t xml:space="preserve"> short responses to historical sources</w:t>
            </w:r>
          </w:p>
        </w:tc>
        <w:tc>
          <w:tcPr>
            <w:tcW w:w="0" w:type="dxa"/>
          </w:tcPr>
          <w:p w:rsidR="00106F3D" w:rsidRDefault="00106F3D" w:rsidP="006B7BA8">
            <w:pPr>
              <w:pStyle w:val="Tabletext"/>
            </w:pPr>
            <w:r>
              <w:t>25%</w:t>
            </w:r>
          </w:p>
        </w:tc>
      </w:tr>
    </w:tbl>
    <w:p w:rsidR="006B7BA8" w:rsidRDefault="006B7BA8">
      <w:r>
        <w:br w:type="page"/>
      </w:r>
    </w:p>
    <w:tbl>
      <w:tblPr>
        <w:tblStyle w:val="TextLayout"/>
        <w:tblW w:w="5650" w:type="pct"/>
        <w:tblInd w:w="-170" w:type="dxa"/>
        <w:tblLayout w:type="fixed"/>
        <w:tblLook w:val="04A0" w:firstRow="1" w:lastRow="0" w:firstColumn="1" w:lastColumn="0" w:noHBand="0" w:noVBand="1"/>
      </w:tblPr>
      <w:tblGrid>
        <w:gridCol w:w="141"/>
        <w:gridCol w:w="9264"/>
        <w:gridCol w:w="845"/>
      </w:tblGrid>
      <w:tr w:rsidR="00BE0C34" w:rsidRPr="003B6F39" w:rsidTr="00BE0C34">
        <w:trPr>
          <w:trHeight w:hRule="exact" w:val="851"/>
        </w:trPr>
        <w:tc>
          <w:tcPr>
            <w:tcW w:w="142" w:type="dxa"/>
            <w:shd w:val="clear" w:color="auto" w:fill="E1231A"/>
          </w:tcPr>
          <w:p w:rsidR="00BE0C34" w:rsidRDefault="00BE0C34" w:rsidP="00BE0C34">
            <w:pPr>
              <w:pStyle w:val="Tabletext"/>
            </w:pPr>
          </w:p>
        </w:tc>
        <w:tc>
          <w:tcPr>
            <w:tcW w:w="9323" w:type="dxa"/>
            <w:tcMar>
              <w:left w:w="57" w:type="dxa"/>
            </w:tcMar>
            <w:vAlign w:val="center"/>
          </w:tcPr>
          <w:p w:rsidR="00BE0C34" w:rsidRDefault="00BE0C34" w:rsidP="00CD2D5C">
            <w:pPr>
              <w:pStyle w:val="SubjectHeading"/>
            </w:pPr>
            <w:r>
              <w:t>Business</w:t>
            </w:r>
          </w:p>
          <w:p w:rsidR="00BE0C34" w:rsidRPr="00E86C01" w:rsidRDefault="00BE0C34" w:rsidP="00BE0C34">
            <w:pPr>
              <w:pStyle w:val="Heading3"/>
              <w:spacing w:before="0" w:after="0"/>
            </w:pPr>
            <w:bookmarkStart w:id="163" w:name="_Toc16163540"/>
            <w:r>
              <w:t>General senior subject</w:t>
            </w:r>
            <w:bookmarkEnd w:id="163"/>
          </w:p>
        </w:tc>
        <w:tc>
          <w:tcPr>
            <w:tcW w:w="850" w:type="dxa"/>
            <w:shd w:val="clear" w:color="auto" w:fill="E1231A"/>
            <w:tcMar>
              <w:bottom w:w="28" w:type="dxa"/>
              <w:right w:w="57" w:type="dxa"/>
            </w:tcMar>
            <w:vAlign w:val="bottom"/>
          </w:tcPr>
          <w:p w:rsidR="00BE0C34" w:rsidRPr="00BE0C34" w:rsidRDefault="00BE0C34" w:rsidP="00BE0C34">
            <w:pPr>
              <w:pStyle w:val="Heading3"/>
              <w:spacing w:before="0" w:after="100" w:afterAutospacing="1"/>
              <w:jc w:val="right"/>
              <w:rPr>
                <w:color w:val="FFFFFF" w:themeColor="background1"/>
                <w:sz w:val="17"/>
                <w:szCs w:val="17"/>
              </w:rPr>
            </w:pPr>
            <w:bookmarkStart w:id="164" w:name="_Toc16163541"/>
            <w:r w:rsidRPr="00BE0C34">
              <w:rPr>
                <w:color w:val="FFFFFF" w:themeColor="background1"/>
                <w:sz w:val="17"/>
                <w:szCs w:val="17"/>
              </w:rPr>
              <w:t>General</w:t>
            </w:r>
            <w:bookmarkEnd w:id="164"/>
          </w:p>
        </w:tc>
      </w:tr>
      <w:tr w:rsidR="00BE0C34" w:rsidRPr="003B6F39" w:rsidTr="00BE0C34">
        <w:trPr>
          <w:trHeight w:hRule="exact" w:val="113"/>
        </w:trPr>
        <w:tc>
          <w:tcPr>
            <w:tcW w:w="10315" w:type="dxa"/>
            <w:gridSpan w:val="3"/>
            <w:shd w:val="clear" w:color="auto" w:fill="auto"/>
          </w:tcPr>
          <w:p w:rsidR="00BE0C34" w:rsidRPr="00E86C01" w:rsidRDefault="00BE0C34" w:rsidP="00BE0C34">
            <w:pPr>
              <w:pStyle w:val="Smallspace"/>
            </w:pPr>
          </w:p>
        </w:tc>
      </w:tr>
    </w:tbl>
    <w:p w:rsidR="006B7BA8" w:rsidRDefault="006B7BA8" w:rsidP="00AF468C">
      <w:pPr>
        <w:pStyle w:val="BodyText"/>
        <w:spacing w:before="120"/>
        <w:rPr>
          <w:noProof/>
        </w:rPr>
        <w:sectPr w:rsidR="006B7BA8" w:rsidSect="005F3A96">
          <w:type w:val="continuous"/>
          <w:pgSz w:w="11907" w:h="16840" w:code="9"/>
          <w:pgMar w:top="1134" w:right="1418" w:bottom="1701" w:left="1418" w:header="567" w:footer="284" w:gutter="0"/>
          <w:cols w:space="720"/>
          <w:formProt w:val="0"/>
          <w:noEndnote/>
          <w:docGrid w:linePitch="299"/>
        </w:sectPr>
      </w:pPr>
    </w:p>
    <w:p w:rsidR="006B7BA8" w:rsidRPr="006B7BA8" w:rsidRDefault="006B7BA8" w:rsidP="006B7BA8">
      <w:pPr>
        <w:spacing w:after="120"/>
      </w:pPr>
      <w:r w:rsidRPr="006B7BA8">
        <w:t>Business provides opportunities for students to develop business knowledge and skills to contribute meaningfully to society, the workforce and the marketplace and prepares them as potential employees, employers, leaders, managers and entrepreneurs.</w:t>
      </w:r>
    </w:p>
    <w:p w:rsidR="006B7BA8" w:rsidRPr="006B7BA8" w:rsidRDefault="006B7BA8" w:rsidP="006B7BA8">
      <w:pPr>
        <w:spacing w:after="120"/>
      </w:pPr>
      <w:r w:rsidRPr="006B7BA8">
        <w:t xml:space="preserve">Students investigate the business life cycle, develop skills in examining business data and information and learn business concepts, theories, processes and strategies relevant to leadership, management and entrepreneurship. </w:t>
      </w:r>
      <w:r w:rsidR="009B1B64">
        <w:t>They</w:t>
      </w:r>
      <w:r w:rsidR="009B1B64" w:rsidRPr="006B7BA8">
        <w:t xml:space="preserve"> </w:t>
      </w:r>
      <w:r w:rsidRPr="006B7BA8">
        <w:t>investigate the influence o</w:t>
      </w:r>
      <w:r w:rsidR="009B1B64">
        <w:t>f,</w:t>
      </w:r>
      <w:r w:rsidRPr="006B7BA8">
        <w:t xml:space="preserve"> and implications for</w:t>
      </w:r>
      <w:r w:rsidR="009B1B64">
        <w:t>,</w:t>
      </w:r>
      <w:r w:rsidRPr="006B7BA8">
        <w:t xml:space="preserve"> strategic development in the functional areas of finance, human resources, marketing and operations.</w:t>
      </w:r>
    </w:p>
    <w:p w:rsidR="006B7BA8" w:rsidRDefault="006B7BA8" w:rsidP="006B7BA8">
      <w:pPr>
        <w:spacing w:after="120"/>
      </w:pPr>
      <w:r w:rsidRPr="006B7BA8">
        <w:t>Students use a variety of technological, communication and analytical tools to comprehend, analyse, interpret and synthesise business data and information. They engage with the dynamic business world (in both national and global contexts), the changing workforce and emerging digital technologies.</w:t>
      </w:r>
    </w:p>
    <w:p w:rsidR="006B7BA8" w:rsidRPr="00C75408" w:rsidRDefault="00C75408" w:rsidP="00C75408">
      <w:pPr>
        <w:spacing w:after="120"/>
      </w:pPr>
      <w:r>
        <w:br w:type="column"/>
      </w:r>
      <w:r w:rsidR="006B7BA8" w:rsidRPr="006B7BA8">
        <w:rPr>
          <w:b/>
          <w:color w:val="6D6F71"/>
          <w:sz w:val="28"/>
          <w:szCs w:val="28"/>
        </w:rPr>
        <w:t>Pathways</w:t>
      </w:r>
    </w:p>
    <w:p w:rsidR="006B7BA8" w:rsidRPr="006B7BA8" w:rsidRDefault="006B7BA8" w:rsidP="006B7BA8">
      <w:pPr>
        <w:spacing w:after="120"/>
      </w:pPr>
      <w:r w:rsidRPr="006B7BA8">
        <w:t>A course of study in Business can establish a basis for further education and employment in the fields of business management, business development, entrepreneurship, business analytics, economics, business law, accounting and finance, international business, marketing, human resources management and business information systems.</w:t>
      </w:r>
    </w:p>
    <w:p w:rsidR="006B7BA8" w:rsidRPr="006B7BA8" w:rsidRDefault="006B7BA8" w:rsidP="006B7BA8">
      <w:pPr>
        <w:keepNext/>
        <w:keepLines/>
        <w:spacing w:before="240" w:after="120"/>
        <w:outlineLvl w:val="2"/>
        <w:rPr>
          <w:b/>
          <w:color w:val="6D6F71"/>
          <w:sz w:val="28"/>
          <w:szCs w:val="28"/>
        </w:rPr>
      </w:pPr>
      <w:bookmarkStart w:id="165" w:name="_Toc16163542"/>
      <w:r w:rsidRPr="006B7BA8">
        <w:rPr>
          <w:b/>
          <w:color w:val="6D6F71"/>
          <w:sz w:val="28"/>
          <w:szCs w:val="28"/>
        </w:rPr>
        <w:t>Objectives</w:t>
      </w:r>
      <w:bookmarkEnd w:id="165"/>
    </w:p>
    <w:p w:rsidR="006B7BA8" w:rsidRPr="006B7BA8" w:rsidRDefault="006B7BA8" w:rsidP="006B7BA8">
      <w:pPr>
        <w:spacing w:after="120"/>
      </w:pPr>
      <w:r w:rsidRPr="006B7BA8">
        <w:t>By the conclusion of the course of study, students will:</w:t>
      </w:r>
    </w:p>
    <w:p w:rsidR="006B7BA8" w:rsidRPr="006B7BA8" w:rsidRDefault="006B7BA8" w:rsidP="00231773">
      <w:pPr>
        <w:pStyle w:val="ListBullet0"/>
      </w:pPr>
      <w:r w:rsidRPr="006B7BA8">
        <w:t>describe business environments and situations</w:t>
      </w:r>
    </w:p>
    <w:p w:rsidR="006B7BA8" w:rsidRPr="006B7BA8" w:rsidRDefault="006B7BA8" w:rsidP="00231773">
      <w:pPr>
        <w:pStyle w:val="ListBullet0"/>
      </w:pPr>
      <w:r w:rsidRPr="006B7BA8">
        <w:t>explain business concepts, strategies and processes</w:t>
      </w:r>
    </w:p>
    <w:p w:rsidR="006B7BA8" w:rsidRPr="006B7BA8" w:rsidRDefault="006B7BA8" w:rsidP="00231773">
      <w:pPr>
        <w:pStyle w:val="ListBullet0"/>
      </w:pPr>
      <w:r w:rsidRPr="006B7BA8">
        <w:t>select and analyse business data and information</w:t>
      </w:r>
    </w:p>
    <w:p w:rsidR="006B7BA8" w:rsidRPr="006B7BA8" w:rsidRDefault="006B7BA8" w:rsidP="00231773">
      <w:pPr>
        <w:pStyle w:val="ListBullet0"/>
      </w:pPr>
      <w:r w:rsidRPr="006B7BA8">
        <w:t>interpret business relationships, patterns and trends to draw conclusions</w:t>
      </w:r>
    </w:p>
    <w:p w:rsidR="006B7BA8" w:rsidRPr="006B7BA8" w:rsidRDefault="006B7BA8" w:rsidP="00231773">
      <w:pPr>
        <w:pStyle w:val="ListBullet0"/>
      </w:pPr>
      <w:r w:rsidRPr="006B7BA8">
        <w:t>evaluate business practices and strategies to make decisions and propose recommendations</w:t>
      </w:r>
    </w:p>
    <w:p w:rsidR="006B7BA8" w:rsidRDefault="006B7BA8" w:rsidP="00AF468C">
      <w:pPr>
        <w:pStyle w:val="ListBullet0"/>
        <w:sectPr w:rsidR="006B7BA8" w:rsidSect="005F3A96">
          <w:type w:val="continuous"/>
          <w:pgSz w:w="11907" w:h="16840" w:code="9"/>
          <w:pgMar w:top="1134" w:right="1418" w:bottom="1701" w:left="1418" w:header="567" w:footer="284" w:gutter="0"/>
          <w:cols w:num="2" w:space="720"/>
          <w:formProt w:val="0"/>
          <w:noEndnote/>
          <w:docGrid w:linePitch="299"/>
        </w:sectPr>
      </w:pPr>
      <w:r w:rsidRPr="006B7BA8">
        <w:t>create responses that communicate meaning to suit purpose and audience.</w:t>
      </w:r>
    </w:p>
    <w:p w:rsidR="00AF468C" w:rsidRDefault="00AF468C" w:rsidP="00AF468C">
      <w:pPr>
        <w:pStyle w:val="Heading3"/>
      </w:pPr>
      <w:bookmarkStart w:id="166" w:name="_Toc16163543"/>
      <w:r>
        <w:t>Structure</w:t>
      </w:r>
      <w:bookmarkEnd w:id="166"/>
    </w:p>
    <w:tbl>
      <w:tblPr>
        <w:tblStyle w:val="QCAAtablestyle1"/>
        <w:tblW w:w="4900" w:type="pct"/>
        <w:tblLook w:val="04A0" w:firstRow="1" w:lastRow="0" w:firstColumn="1" w:lastColumn="0" w:noHBand="0" w:noVBand="1"/>
      </w:tblPr>
      <w:tblGrid>
        <w:gridCol w:w="2219"/>
        <w:gridCol w:w="2220"/>
        <w:gridCol w:w="2220"/>
        <w:gridCol w:w="2221"/>
      </w:tblGrid>
      <w:tr w:rsidR="00AF468C" w:rsidTr="00231773">
        <w:trPr>
          <w:cnfStyle w:val="100000000000" w:firstRow="1" w:lastRow="0" w:firstColumn="0" w:lastColumn="0" w:oddVBand="0" w:evenVBand="0" w:oddHBand="0" w:evenHBand="0" w:firstRowFirstColumn="0" w:firstRowLastColumn="0" w:lastRowFirstColumn="0" w:lastRowLastColumn="0"/>
        </w:trPr>
        <w:tc>
          <w:tcPr>
            <w:tcW w:w="2219" w:type="dxa"/>
          </w:tcPr>
          <w:p w:rsidR="00AF468C" w:rsidRPr="00231773" w:rsidRDefault="00AF468C" w:rsidP="00231773">
            <w:pPr>
              <w:pStyle w:val="Tableheading"/>
            </w:pPr>
            <w:r w:rsidRPr="00231773">
              <w:t>Unit 1</w:t>
            </w:r>
          </w:p>
        </w:tc>
        <w:tc>
          <w:tcPr>
            <w:tcW w:w="2220" w:type="dxa"/>
          </w:tcPr>
          <w:p w:rsidR="00AF468C" w:rsidRPr="00231773" w:rsidRDefault="00AF468C" w:rsidP="00231773">
            <w:pPr>
              <w:pStyle w:val="Tableheading"/>
            </w:pPr>
            <w:r w:rsidRPr="00231773">
              <w:t>Unit 2</w:t>
            </w:r>
          </w:p>
        </w:tc>
        <w:tc>
          <w:tcPr>
            <w:tcW w:w="2220" w:type="dxa"/>
          </w:tcPr>
          <w:p w:rsidR="00AF468C" w:rsidRPr="00231773" w:rsidRDefault="00AF468C" w:rsidP="00231773">
            <w:pPr>
              <w:pStyle w:val="Tableheading"/>
            </w:pPr>
            <w:r w:rsidRPr="00231773">
              <w:t>Unit 3</w:t>
            </w:r>
          </w:p>
        </w:tc>
        <w:tc>
          <w:tcPr>
            <w:tcW w:w="2221" w:type="dxa"/>
          </w:tcPr>
          <w:p w:rsidR="00AF468C" w:rsidRPr="00231773" w:rsidRDefault="00AF468C" w:rsidP="00231773">
            <w:pPr>
              <w:pStyle w:val="Tableheading"/>
            </w:pPr>
            <w:r w:rsidRPr="00231773">
              <w:t>Unit 4</w:t>
            </w:r>
          </w:p>
        </w:tc>
      </w:tr>
      <w:tr w:rsidR="00231773" w:rsidTr="00231773">
        <w:tc>
          <w:tcPr>
            <w:tcW w:w="2219" w:type="dxa"/>
          </w:tcPr>
          <w:p w:rsidR="00231773" w:rsidRPr="00231773" w:rsidRDefault="00231773" w:rsidP="00231773">
            <w:pPr>
              <w:pStyle w:val="Tabletext"/>
              <w:rPr>
                <w:b/>
              </w:rPr>
            </w:pPr>
            <w:r w:rsidRPr="00231773">
              <w:rPr>
                <w:b/>
              </w:rPr>
              <w:t>Business creation</w:t>
            </w:r>
          </w:p>
          <w:p w:rsidR="00231773" w:rsidRDefault="00231773" w:rsidP="00231773">
            <w:pPr>
              <w:pStyle w:val="TableBullet"/>
            </w:pPr>
            <w:r>
              <w:t>Fundamentals of business</w:t>
            </w:r>
          </w:p>
          <w:p w:rsidR="00231773" w:rsidRDefault="00231773" w:rsidP="00231773">
            <w:pPr>
              <w:pStyle w:val="TableBullet"/>
            </w:pPr>
            <w:r>
              <w:t>Creation of business ideas</w:t>
            </w:r>
          </w:p>
        </w:tc>
        <w:tc>
          <w:tcPr>
            <w:tcW w:w="2220" w:type="dxa"/>
          </w:tcPr>
          <w:p w:rsidR="00231773" w:rsidRPr="00231773" w:rsidRDefault="00231773" w:rsidP="00231773">
            <w:pPr>
              <w:pStyle w:val="Tabletext"/>
              <w:rPr>
                <w:b/>
              </w:rPr>
            </w:pPr>
            <w:r w:rsidRPr="00231773">
              <w:rPr>
                <w:b/>
              </w:rPr>
              <w:t>Business growth</w:t>
            </w:r>
          </w:p>
          <w:p w:rsidR="00231773" w:rsidRDefault="00231773" w:rsidP="00231773">
            <w:pPr>
              <w:pStyle w:val="TableBullet"/>
            </w:pPr>
            <w:r>
              <w:t>Establishment of a business</w:t>
            </w:r>
          </w:p>
          <w:p w:rsidR="00231773" w:rsidRDefault="00231773" w:rsidP="00231773">
            <w:pPr>
              <w:pStyle w:val="TableBullet"/>
            </w:pPr>
            <w:r>
              <w:t>Entering markets</w:t>
            </w:r>
          </w:p>
        </w:tc>
        <w:tc>
          <w:tcPr>
            <w:tcW w:w="2220" w:type="dxa"/>
            <w:shd w:val="clear" w:color="auto" w:fill="auto"/>
          </w:tcPr>
          <w:p w:rsidR="00231773" w:rsidRPr="00231773" w:rsidRDefault="00231773" w:rsidP="00231773">
            <w:pPr>
              <w:pStyle w:val="Tabletext"/>
              <w:rPr>
                <w:b/>
              </w:rPr>
            </w:pPr>
            <w:r w:rsidRPr="00231773">
              <w:rPr>
                <w:b/>
              </w:rPr>
              <w:t>Business diversification</w:t>
            </w:r>
          </w:p>
          <w:p w:rsidR="00231773" w:rsidRDefault="00231773" w:rsidP="00231773">
            <w:pPr>
              <w:pStyle w:val="TableBullet"/>
            </w:pPr>
            <w:r>
              <w:t>Competitive markets</w:t>
            </w:r>
          </w:p>
          <w:p w:rsidR="00231773" w:rsidRDefault="00231773" w:rsidP="00231773">
            <w:pPr>
              <w:pStyle w:val="TableBullet"/>
            </w:pPr>
            <w:r>
              <w:t>Strategic development</w:t>
            </w:r>
          </w:p>
        </w:tc>
        <w:tc>
          <w:tcPr>
            <w:tcW w:w="2221" w:type="dxa"/>
            <w:shd w:val="clear" w:color="auto" w:fill="auto"/>
          </w:tcPr>
          <w:p w:rsidR="00231773" w:rsidRPr="00231773" w:rsidRDefault="00231773" w:rsidP="00231773">
            <w:pPr>
              <w:pStyle w:val="Tabletext"/>
              <w:rPr>
                <w:b/>
              </w:rPr>
            </w:pPr>
            <w:r w:rsidRPr="00231773">
              <w:rPr>
                <w:b/>
              </w:rPr>
              <w:t>Business evolution</w:t>
            </w:r>
          </w:p>
          <w:p w:rsidR="00231773" w:rsidRDefault="00231773" w:rsidP="00231773">
            <w:pPr>
              <w:pStyle w:val="TableBullet"/>
            </w:pPr>
            <w:r>
              <w:t>Repositioning a business</w:t>
            </w:r>
          </w:p>
          <w:p w:rsidR="00231773" w:rsidRDefault="00231773" w:rsidP="00231773">
            <w:pPr>
              <w:pStyle w:val="TableBullet"/>
            </w:pPr>
            <w:r>
              <w:t>Transformation of a business</w:t>
            </w:r>
          </w:p>
        </w:tc>
      </w:tr>
    </w:tbl>
    <w:p w:rsidR="00231773" w:rsidRPr="00AF6E3F" w:rsidRDefault="00231773" w:rsidP="00AF6E3F"/>
    <w:p w:rsidR="00231773" w:rsidRPr="00AF6E3F" w:rsidRDefault="00231773" w:rsidP="00AF6E3F">
      <w:r w:rsidRPr="00AF6E3F">
        <w:br w:type="page"/>
      </w:r>
    </w:p>
    <w:p w:rsidR="00231773" w:rsidRDefault="00231773" w:rsidP="00231773">
      <w:pPr>
        <w:pStyle w:val="Heading3"/>
      </w:pPr>
      <w:bookmarkStart w:id="167" w:name="_Toc16163544"/>
      <w:r>
        <w:t>Assessment</w:t>
      </w:r>
      <w:bookmarkEnd w:id="167"/>
    </w:p>
    <w:p w:rsidR="00316849" w:rsidRDefault="00316849" w:rsidP="00316849">
      <w:pPr>
        <w:pStyle w:val="BodyText"/>
      </w:pPr>
      <w:r>
        <w:t>S</w:t>
      </w:r>
      <w:r w:rsidRPr="008C3C06">
        <w:t>chools devise assessment</w:t>
      </w:r>
      <w:r>
        <w:t>s</w:t>
      </w:r>
      <w:r w:rsidRPr="008C3C06">
        <w:t xml:space="preserve"> </w:t>
      </w:r>
      <w:r>
        <w:t>i</w:t>
      </w:r>
      <w:r w:rsidRPr="008C3C06">
        <w:t>n Units 1 and 2 to suit their local context.</w:t>
      </w:r>
      <w:r>
        <w:t xml:space="preserve"> </w:t>
      </w:r>
    </w:p>
    <w:p w:rsidR="00316849" w:rsidRDefault="00316849" w:rsidP="00316849">
      <w:pPr>
        <w:pStyle w:val="BodyText"/>
      </w:pPr>
      <w:r>
        <w:t>I</w:t>
      </w:r>
      <w:r w:rsidRPr="008C3C06">
        <w:t xml:space="preserve">n Units 3 and 4 </w:t>
      </w:r>
      <w:r>
        <w:t>s</w:t>
      </w:r>
      <w:r w:rsidRPr="008C3C06">
        <w:t>tudents complete four summative assessments</w:t>
      </w:r>
      <w:r>
        <w:t>. The results from each of the assessments are added together to provide a subject score out of 100. Students will also receive an overall subject result (</w:t>
      </w:r>
      <w:r w:rsidR="003A1232">
        <w:t>A–E</w:t>
      </w:r>
      <w:r>
        <w:t>).</w:t>
      </w:r>
    </w:p>
    <w:p w:rsidR="000D2D7A" w:rsidRDefault="000D2D7A" w:rsidP="00D72BFA">
      <w:pPr>
        <w:pStyle w:val="Caption"/>
        <w:rPr>
          <w:noProof/>
        </w:rPr>
      </w:pPr>
      <w:r>
        <w:t>Summative assessments</w:t>
      </w:r>
    </w:p>
    <w:tbl>
      <w:tblPr>
        <w:tblStyle w:val="QCAAtablestyle1"/>
        <w:tblW w:w="4900" w:type="pct"/>
        <w:tblLayout w:type="fixed"/>
        <w:tblLook w:val="04A0" w:firstRow="1" w:lastRow="0" w:firstColumn="1" w:lastColumn="0" w:noHBand="0" w:noVBand="1"/>
      </w:tblPr>
      <w:tblGrid>
        <w:gridCol w:w="3726"/>
        <w:gridCol w:w="695"/>
        <w:gridCol w:w="3784"/>
        <w:gridCol w:w="675"/>
      </w:tblGrid>
      <w:tr w:rsidR="00A01533" w:rsidTr="00501FB0">
        <w:trPr>
          <w:cnfStyle w:val="100000000000" w:firstRow="1" w:lastRow="0" w:firstColumn="0" w:lastColumn="0" w:oddVBand="0" w:evenVBand="0" w:oddHBand="0" w:evenHBand="0" w:firstRowFirstColumn="0" w:firstRowLastColumn="0" w:lastRowFirstColumn="0" w:lastRowLastColumn="0"/>
        </w:trPr>
        <w:tc>
          <w:tcPr>
            <w:tcW w:w="4531" w:type="dxa"/>
            <w:gridSpan w:val="2"/>
          </w:tcPr>
          <w:p w:rsidR="00A01533" w:rsidRDefault="00A01533" w:rsidP="00231773">
            <w:pPr>
              <w:pStyle w:val="Tableheading"/>
            </w:pPr>
            <w:r>
              <w:t>Unit 3</w:t>
            </w:r>
          </w:p>
        </w:tc>
        <w:tc>
          <w:tcPr>
            <w:tcW w:w="4570" w:type="dxa"/>
            <w:gridSpan w:val="2"/>
          </w:tcPr>
          <w:p w:rsidR="00A01533" w:rsidRDefault="00A01533" w:rsidP="00231773">
            <w:pPr>
              <w:pStyle w:val="Tableheading"/>
            </w:pPr>
            <w:r>
              <w:t>Unit 4</w:t>
            </w:r>
          </w:p>
        </w:tc>
      </w:tr>
      <w:tr w:rsidR="00A01533" w:rsidTr="00501FB0">
        <w:tc>
          <w:tcPr>
            <w:tcW w:w="3823" w:type="dxa"/>
          </w:tcPr>
          <w:p w:rsidR="00A01533" w:rsidRDefault="00A01533" w:rsidP="00231773">
            <w:pPr>
              <w:pStyle w:val="Tabletext"/>
            </w:pPr>
            <w:r>
              <w:t xml:space="preserve">Summative internal assessment 1 (IA1): </w:t>
            </w:r>
          </w:p>
          <w:p w:rsidR="00A01533" w:rsidRDefault="00A01533" w:rsidP="008C3C06">
            <w:pPr>
              <w:pStyle w:val="TableBullet"/>
            </w:pPr>
            <w:r>
              <w:t>Examination — combination response</w:t>
            </w:r>
          </w:p>
        </w:tc>
        <w:tc>
          <w:tcPr>
            <w:tcW w:w="708" w:type="dxa"/>
          </w:tcPr>
          <w:p w:rsidR="00A01533" w:rsidRDefault="00A01533" w:rsidP="00231773">
            <w:pPr>
              <w:pStyle w:val="Tabletext"/>
            </w:pPr>
            <w:r>
              <w:t>25%</w:t>
            </w:r>
          </w:p>
        </w:tc>
        <w:tc>
          <w:tcPr>
            <w:tcW w:w="3883" w:type="dxa"/>
          </w:tcPr>
          <w:p w:rsidR="00A01533" w:rsidRDefault="00A01533" w:rsidP="00231773">
            <w:pPr>
              <w:pStyle w:val="Tabletext"/>
            </w:pPr>
            <w:r>
              <w:t xml:space="preserve">Summative internal assessment 3 (IA3): </w:t>
            </w:r>
          </w:p>
          <w:p w:rsidR="00A01533" w:rsidRDefault="00501FB0" w:rsidP="008C3C06">
            <w:pPr>
              <w:pStyle w:val="TableBullet"/>
            </w:pPr>
            <w:r>
              <w:t xml:space="preserve">Extended response — </w:t>
            </w:r>
            <w:r w:rsidR="00A01533">
              <w:t>feasibility report</w:t>
            </w:r>
          </w:p>
        </w:tc>
        <w:tc>
          <w:tcPr>
            <w:tcW w:w="687" w:type="dxa"/>
          </w:tcPr>
          <w:p w:rsidR="00A01533" w:rsidRDefault="00A01533" w:rsidP="00231773">
            <w:pPr>
              <w:pStyle w:val="Tabletext"/>
            </w:pPr>
            <w:r>
              <w:t>25%</w:t>
            </w:r>
          </w:p>
        </w:tc>
      </w:tr>
      <w:tr w:rsidR="00A01533" w:rsidTr="00501FB0">
        <w:tc>
          <w:tcPr>
            <w:tcW w:w="3823" w:type="dxa"/>
          </w:tcPr>
          <w:p w:rsidR="00A01533" w:rsidRDefault="00A01533" w:rsidP="00231773">
            <w:pPr>
              <w:pStyle w:val="Tabletext"/>
            </w:pPr>
            <w:r>
              <w:t>Summativ</w:t>
            </w:r>
            <w:r w:rsidR="00501FB0">
              <w:t xml:space="preserve">e internal assessment 2 (IA2): </w:t>
            </w:r>
          </w:p>
          <w:p w:rsidR="00A01533" w:rsidRDefault="00A01533" w:rsidP="008C3C06">
            <w:pPr>
              <w:pStyle w:val="TableBullet"/>
            </w:pPr>
            <w:r>
              <w:t>Investigation — business report</w:t>
            </w:r>
          </w:p>
        </w:tc>
        <w:tc>
          <w:tcPr>
            <w:tcW w:w="708" w:type="dxa"/>
          </w:tcPr>
          <w:p w:rsidR="00A01533" w:rsidRDefault="00A01533" w:rsidP="00231773">
            <w:pPr>
              <w:pStyle w:val="Tabletext"/>
            </w:pPr>
            <w:r>
              <w:t>25%</w:t>
            </w:r>
          </w:p>
        </w:tc>
        <w:tc>
          <w:tcPr>
            <w:tcW w:w="3883" w:type="dxa"/>
          </w:tcPr>
          <w:p w:rsidR="00A01533" w:rsidRDefault="00A01533" w:rsidP="00231773">
            <w:pPr>
              <w:pStyle w:val="Tabletext"/>
            </w:pPr>
            <w:r>
              <w:t xml:space="preserve">Summative external assessment (EA): </w:t>
            </w:r>
          </w:p>
          <w:p w:rsidR="00A01533" w:rsidRDefault="00501FB0" w:rsidP="008C3C06">
            <w:pPr>
              <w:pStyle w:val="TableBullet"/>
            </w:pPr>
            <w:r>
              <w:t xml:space="preserve">Examination — </w:t>
            </w:r>
            <w:r w:rsidR="00A01533">
              <w:t>combination response</w:t>
            </w:r>
          </w:p>
        </w:tc>
        <w:tc>
          <w:tcPr>
            <w:tcW w:w="687" w:type="dxa"/>
          </w:tcPr>
          <w:p w:rsidR="00A01533" w:rsidRDefault="00A01533" w:rsidP="00231773">
            <w:pPr>
              <w:pStyle w:val="Tabletext"/>
            </w:pPr>
            <w:r>
              <w:t>25%</w:t>
            </w:r>
          </w:p>
        </w:tc>
      </w:tr>
    </w:tbl>
    <w:p w:rsidR="00231773" w:rsidRPr="00AF6E3F" w:rsidRDefault="00231773" w:rsidP="00AF6E3F"/>
    <w:p w:rsidR="00AF468C" w:rsidRPr="00AF6E3F" w:rsidRDefault="00231773" w:rsidP="00AF6E3F">
      <w:r w:rsidRPr="00AF6E3F">
        <w:br w:type="page"/>
      </w:r>
    </w:p>
    <w:tbl>
      <w:tblPr>
        <w:tblStyle w:val="TextLayout"/>
        <w:tblW w:w="5650" w:type="pct"/>
        <w:tblInd w:w="-170" w:type="dxa"/>
        <w:tblLayout w:type="fixed"/>
        <w:tblLook w:val="04A0" w:firstRow="1" w:lastRow="0" w:firstColumn="1" w:lastColumn="0" w:noHBand="0" w:noVBand="1"/>
      </w:tblPr>
      <w:tblGrid>
        <w:gridCol w:w="10250"/>
      </w:tblGrid>
      <w:tr w:rsidR="00BE0C34" w:rsidRPr="003B6F39" w:rsidTr="00BD3A78">
        <w:trPr>
          <w:trHeight w:hRule="exact" w:val="113"/>
        </w:trPr>
        <w:tc>
          <w:tcPr>
            <w:tcW w:w="10250" w:type="dxa"/>
            <w:shd w:val="clear" w:color="auto" w:fill="auto"/>
          </w:tcPr>
          <w:p w:rsidR="00BE0C34" w:rsidRPr="00E86C01" w:rsidRDefault="00BE0C34" w:rsidP="00BE0C34">
            <w:pPr>
              <w:pStyle w:val="Smallspace"/>
            </w:pPr>
          </w:p>
        </w:tc>
      </w:tr>
    </w:tbl>
    <w:p w:rsidR="00231773" w:rsidRDefault="00231773"/>
    <w:p w:rsidR="00AF468C" w:rsidRDefault="00AF468C" w:rsidP="00AF468C"/>
    <w:tbl>
      <w:tblPr>
        <w:tblStyle w:val="TextLayout"/>
        <w:tblW w:w="5650" w:type="pct"/>
        <w:tblInd w:w="-170" w:type="dxa"/>
        <w:tblLayout w:type="fixed"/>
        <w:tblLook w:val="04A0" w:firstRow="1" w:lastRow="0" w:firstColumn="1" w:lastColumn="0" w:noHBand="0" w:noVBand="1"/>
      </w:tblPr>
      <w:tblGrid>
        <w:gridCol w:w="141"/>
        <w:gridCol w:w="9264"/>
        <w:gridCol w:w="845"/>
      </w:tblGrid>
      <w:tr w:rsidR="00BE0C34" w:rsidRPr="003B6F39" w:rsidTr="00BE0C34">
        <w:trPr>
          <w:trHeight w:hRule="exact" w:val="851"/>
        </w:trPr>
        <w:tc>
          <w:tcPr>
            <w:tcW w:w="142" w:type="dxa"/>
            <w:shd w:val="clear" w:color="auto" w:fill="E1231A"/>
          </w:tcPr>
          <w:p w:rsidR="00BE0C34" w:rsidRDefault="00BE0C34" w:rsidP="00BE0C34">
            <w:pPr>
              <w:pStyle w:val="Tabletext"/>
            </w:pPr>
          </w:p>
        </w:tc>
        <w:tc>
          <w:tcPr>
            <w:tcW w:w="9323" w:type="dxa"/>
            <w:tcMar>
              <w:left w:w="57" w:type="dxa"/>
            </w:tcMar>
            <w:vAlign w:val="center"/>
          </w:tcPr>
          <w:p w:rsidR="00BE0C34" w:rsidRDefault="00D45835" w:rsidP="00CD2D5C">
            <w:pPr>
              <w:pStyle w:val="SubjectHeading"/>
            </w:pPr>
            <w:r>
              <w:t xml:space="preserve">Legal </w:t>
            </w:r>
            <w:r w:rsidR="00BE0C34">
              <w:t>Studies</w:t>
            </w:r>
          </w:p>
          <w:p w:rsidR="00BE0C34" w:rsidRPr="00E86C01" w:rsidRDefault="00BE0C34" w:rsidP="00BE0C34">
            <w:pPr>
              <w:pStyle w:val="Heading3"/>
              <w:spacing w:before="0" w:after="0"/>
            </w:pPr>
            <w:bookmarkStart w:id="168" w:name="_Toc16163545"/>
            <w:r>
              <w:t>General senior subject</w:t>
            </w:r>
            <w:bookmarkEnd w:id="168"/>
          </w:p>
        </w:tc>
        <w:tc>
          <w:tcPr>
            <w:tcW w:w="850" w:type="dxa"/>
            <w:shd w:val="clear" w:color="auto" w:fill="E1231A"/>
            <w:tcMar>
              <w:bottom w:w="28" w:type="dxa"/>
              <w:right w:w="57" w:type="dxa"/>
            </w:tcMar>
            <w:vAlign w:val="bottom"/>
          </w:tcPr>
          <w:p w:rsidR="00BE0C34" w:rsidRPr="00BE0C34" w:rsidRDefault="00BE0C34" w:rsidP="00BE0C34">
            <w:pPr>
              <w:pStyle w:val="Heading3"/>
              <w:spacing w:before="0" w:after="100" w:afterAutospacing="1"/>
              <w:jc w:val="right"/>
              <w:rPr>
                <w:color w:val="FFFFFF" w:themeColor="background1"/>
                <w:sz w:val="17"/>
                <w:szCs w:val="17"/>
              </w:rPr>
            </w:pPr>
            <w:bookmarkStart w:id="169" w:name="_Toc16163546"/>
            <w:r w:rsidRPr="00BE0C34">
              <w:rPr>
                <w:color w:val="FFFFFF" w:themeColor="background1"/>
                <w:sz w:val="17"/>
                <w:szCs w:val="17"/>
              </w:rPr>
              <w:t>General</w:t>
            </w:r>
            <w:bookmarkEnd w:id="169"/>
          </w:p>
        </w:tc>
      </w:tr>
      <w:tr w:rsidR="00BE0C34" w:rsidRPr="003B6F39" w:rsidTr="00BE0C34">
        <w:trPr>
          <w:trHeight w:hRule="exact" w:val="113"/>
        </w:trPr>
        <w:tc>
          <w:tcPr>
            <w:tcW w:w="10315" w:type="dxa"/>
            <w:gridSpan w:val="3"/>
            <w:shd w:val="clear" w:color="auto" w:fill="auto"/>
          </w:tcPr>
          <w:p w:rsidR="00BE0C34" w:rsidRPr="00E86C01" w:rsidRDefault="00BE0C34" w:rsidP="00BE0C34">
            <w:pPr>
              <w:pStyle w:val="Smallspace"/>
            </w:pPr>
          </w:p>
        </w:tc>
      </w:tr>
    </w:tbl>
    <w:p w:rsidR="00E90689" w:rsidRDefault="00E90689" w:rsidP="00AF468C">
      <w:pPr>
        <w:pStyle w:val="BodyText"/>
        <w:spacing w:before="120"/>
        <w:rPr>
          <w:noProof/>
        </w:rPr>
        <w:sectPr w:rsidR="00E90689" w:rsidSect="005F3A96">
          <w:headerReference w:type="default" r:id="rId29"/>
          <w:type w:val="continuous"/>
          <w:pgSz w:w="11907" w:h="16840" w:code="9"/>
          <w:pgMar w:top="1134" w:right="1418" w:bottom="1701" w:left="1418" w:header="567" w:footer="284" w:gutter="0"/>
          <w:cols w:space="720"/>
          <w:formProt w:val="0"/>
          <w:noEndnote/>
          <w:docGrid w:linePitch="299"/>
        </w:sectPr>
      </w:pPr>
    </w:p>
    <w:p w:rsidR="00E90689" w:rsidRPr="003C55CA" w:rsidRDefault="00E90689" w:rsidP="00E90689">
      <w:pPr>
        <w:pStyle w:val="BodyText"/>
      </w:pPr>
      <w:r w:rsidRPr="003C55CA">
        <w:t>Legal Studies focuses on the interaction between society and the discipline of law</w:t>
      </w:r>
      <w:r>
        <w:t xml:space="preserve"> and</w:t>
      </w:r>
      <w:r w:rsidRPr="003C55CA">
        <w:t xml:space="preserve"> </w:t>
      </w:r>
      <w:r w:rsidRPr="00D04B9C">
        <w:t>explores the role and development of law in response to current issues</w:t>
      </w:r>
      <w:r w:rsidRPr="003C55CA">
        <w:t xml:space="preserve">. Students study the legal system and how it regulates activities and aims to protect the rights of individuals, while balancing these with obligations and responsibilities. </w:t>
      </w:r>
    </w:p>
    <w:p w:rsidR="00E90689" w:rsidRPr="003C55CA" w:rsidRDefault="00E90689" w:rsidP="00E90689">
      <w:pPr>
        <w:pStyle w:val="BodyText"/>
      </w:pPr>
      <w:r>
        <w:t>Students study the foundations of law, the criminal justice process and</w:t>
      </w:r>
      <w:r w:rsidRPr="003C55CA">
        <w:t xml:space="preserve"> the civil justice system</w:t>
      </w:r>
      <w:r>
        <w:t>. They</w:t>
      </w:r>
      <w:r w:rsidRPr="003C55CA">
        <w:t xml:space="preserve"> critically examine issues of governance</w:t>
      </w:r>
      <w:r>
        <w:t xml:space="preserve">, </w:t>
      </w:r>
      <w:r w:rsidRPr="003C55CA">
        <w:t>explore contemporary i</w:t>
      </w:r>
      <w:r>
        <w:t>ssues of law reform and change</w:t>
      </w:r>
      <w:r w:rsidR="00506AEB">
        <w:t>,</w:t>
      </w:r>
      <w:r>
        <w:t xml:space="preserve"> and consider </w:t>
      </w:r>
      <w:r w:rsidRPr="003C55CA">
        <w:t xml:space="preserve">Australian and international human rights issues. </w:t>
      </w:r>
    </w:p>
    <w:p w:rsidR="00E90689" w:rsidRPr="003C55CA" w:rsidRDefault="00E90689" w:rsidP="00E90689">
      <w:pPr>
        <w:pStyle w:val="BodyText"/>
      </w:pPr>
      <w:r>
        <w:t>Students develop</w:t>
      </w:r>
      <w:r w:rsidRPr="003C55CA">
        <w:t xml:space="preserve"> skills of inquiry, critical thinking, problem-solving and reasoning to make informed and ethical decisions and recommendations. </w:t>
      </w:r>
      <w:r>
        <w:t>They</w:t>
      </w:r>
      <w:r w:rsidRPr="003C55CA">
        <w:t xml:space="preserve"> identify and describe legal issues, explore information and data, analyse, evaluate to make decisions or propose recommendations, and create responses that convey legal meaning.</w:t>
      </w:r>
      <w:r>
        <w:t xml:space="preserve"> They</w:t>
      </w:r>
      <w:r w:rsidRPr="003C55CA">
        <w:t xml:space="preserve"> question, explore and discuss tensions between changing social values, justice and equitable outcomes.</w:t>
      </w:r>
    </w:p>
    <w:p w:rsidR="00E90689" w:rsidRDefault="00E90689" w:rsidP="00BE0C34">
      <w:pPr>
        <w:pStyle w:val="Heading3"/>
        <w:spacing w:before="120"/>
      </w:pPr>
      <w:bookmarkStart w:id="170" w:name="_Toc16163547"/>
      <w:r>
        <w:t>Pathways</w:t>
      </w:r>
      <w:bookmarkEnd w:id="170"/>
    </w:p>
    <w:p w:rsidR="00E90689" w:rsidRPr="002E14D3" w:rsidRDefault="00E90689" w:rsidP="00E90689">
      <w:pPr>
        <w:pStyle w:val="BodyText"/>
      </w:pPr>
      <w:r w:rsidRPr="002E14D3">
        <w:t>A course of study in Legal Studies can establish a basis for further education and employment in the fields of law, law enforcement, criminology, justice studies and politics. The knowledge, skills and attitudes students gain are transferable to all discipline areas and post-schooling tertiary pathways. The research and analytical skills this course develops are universally valued in business, health, science and engineering industries.</w:t>
      </w:r>
    </w:p>
    <w:p w:rsidR="00E90689" w:rsidRDefault="00E90689" w:rsidP="00E90689">
      <w:pPr>
        <w:pStyle w:val="Heading3"/>
      </w:pPr>
      <w:bookmarkStart w:id="171" w:name="_Toc16163548"/>
      <w:r>
        <w:t>Objectives</w:t>
      </w:r>
      <w:bookmarkEnd w:id="171"/>
    </w:p>
    <w:p w:rsidR="00E90689" w:rsidRDefault="00E90689" w:rsidP="00E90689">
      <w:pPr>
        <w:pStyle w:val="BodyText"/>
        <w:rPr>
          <w:noProof/>
        </w:rPr>
      </w:pPr>
      <w:r>
        <w:rPr>
          <w:noProof/>
        </w:rPr>
        <w:t>By the conclusion of the course of study, students will:</w:t>
      </w:r>
    </w:p>
    <w:p w:rsidR="00E90689" w:rsidRPr="002E14D3" w:rsidRDefault="00E90689" w:rsidP="00E90689">
      <w:pPr>
        <w:pStyle w:val="ListBullet0"/>
      </w:pPr>
      <w:r w:rsidRPr="002E14D3">
        <w:t>comprehend legal concepts, principles and processes</w:t>
      </w:r>
    </w:p>
    <w:p w:rsidR="00E90689" w:rsidRPr="002E14D3" w:rsidRDefault="00E90689" w:rsidP="00E90689">
      <w:pPr>
        <w:pStyle w:val="ListBullet0"/>
      </w:pPr>
      <w:r w:rsidRPr="002E14D3">
        <w:t>select legal information from sources</w:t>
      </w:r>
    </w:p>
    <w:p w:rsidR="00E90689" w:rsidRPr="002E14D3" w:rsidRDefault="00E90689" w:rsidP="00E90689">
      <w:pPr>
        <w:pStyle w:val="ListBullet0"/>
      </w:pPr>
      <w:r w:rsidRPr="002E14D3">
        <w:t>analyse legal issues</w:t>
      </w:r>
    </w:p>
    <w:p w:rsidR="00E90689" w:rsidRPr="002E14D3" w:rsidRDefault="00E90689" w:rsidP="00E90689">
      <w:pPr>
        <w:pStyle w:val="ListBullet0"/>
      </w:pPr>
      <w:r w:rsidRPr="002E14D3">
        <w:t>evaluate legal situations</w:t>
      </w:r>
    </w:p>
    <w:p w:rsidR="00E90689" w:rsidRPr="002E14D3" w:rsidRDefault="00E90689" w:rsidP="00E90689">
      <w:pPr>
        <w:pStyle w:val="ListBullet0"/>
      </w:pPr>
      <w:r w:rsidRPr="002E14D3">
        <w:t>create responses that communicate meaning.</w:t>
      </w:r>
    </w:p>
    <w:p w:rsidR="00E90689" w:rsidRDefault="00E90689" w:rsidP="00AF468C">
      <w:pPr>
        <w:pStyle w:val="Heading3"/>
        <w:sectPr w:rsidR="00E90689" w:rsidSect="005F3A96">
          <w:type w:val="continuous"/>
          <w:pgSz w:w="11907" w:h="16840" w:code="9"/>
          <w:pgMar w:top="1134" w:right="1418" w:bottom="1701" w:left="1418" w:header="567" w:footer="284" w:gutter="0"/>
          <w:cols w:num="2" w:space="720"/>
          <w:formProt w:val="0"/>
          <w:noEndnote/>
          <w:docGrid w:linePitch="299"/>
        </w:sectPr>
      </w:pPr>
    </w:p>
    <w:p w:rsidR="00AF468C" w:rsidRDefault="00AF468C" w:rsidP="00065ECD">
      <w:pPr>
        <w:pStyle w:val="Heading3"/>
        <w:spacing w:before="360"/>
      </w:pPr>
      <w:bookmarkStart w:id="172" w:name="_Toc16163549"/>
      <w:r>
        <w:t>Structure</w:t>
      </w:r>
      <w:bookmarkEnd w:id="172"/>
    </w:p>
    <w:tbl>
      <w:tblPr>
        <w:tblStyle w:val="QCAAtablestyle1"/>
        <w:tblW w:w="4900" w:type="pct"/>
        <w:tblLook w:val="04A0" w:firstRow="1" w:lastRow="0" w:firstColumn="1" w:lastColumn="0" w:noHBand="0" w:noVBand="1"/>
      </w:tblPr>
      <w:tblGrid>
        <w:gridCol w:w="2219"/>
        <w:gridCol w:w="2220"/>
        <w:gridCol w:w="2220"/>
        <w:gridCol w:w="2221"/>
      </w:tblGrid>
      <w:tr w:rsidR="00AF468C" w:rsidTr="00207B93">
        <w:trPr>
          <w:cnfStyle w:val="100000000000" w:firstRow="1" w:lastRow="0" w:firstColumn="0" w:lastColumn="0" w:oddVBand="0" w:evenVBand="0" w:oddHBand="0" w:evenHBand="0" w:firstRowFirstColumn="0" w:firstRowLastColumn="0" w:lastRowFirstColumn="0" w:lastRowLastColumn="0"/>
        </w:trPr>
        <w:tc>
          <w:tcPr>
            <w:tcW w:w="2219" w:type="dxa"/>
          </w:tcPr>
          <w:p w:rsidR="00AF468C" w:rsidRPr="00207B93" w:rsidRDefault="00AF468C" w:rsidP="00207B93">
            <w:pPr>
              <w:pStyle w:val="Tableheading"/>
            </w:pPr>
            <w:r w:rsidRPr="00207B93">
              <w:t>Unit 1</w:t>
            </w:r>
          </w:p>
        </w:tc>
        <w:tc>
          <w:tcPr>
            <w:tcW w:w="2220" w:type="dxa"/>
          </w:tcPr>
          <w:p w:rsidR="00AF468C" w:rsidRPr="00207B93" w:rsidRDefault="00AF468C" w:rsidP="00207B93">
            <w:pPr>
              <w:pStyle w:val="Tableheading"/>
            </w:pPr>
            <w:r w:rsidRPr="00207B93">
              <w:t>Unit 2</w:t>
            </w:r>
          </w:p>
        </w:tc>
        <w:tc>
          <w:tcPr>
            <w:tcW w:w="2220" w:type="dxa"/>
          </w:tcPr>
          <w:p w:rsidR="00AF468C" w:rsidRPr="00207B93" w:rsidRDefault="00AF468C" w:rsidP="00207B93">
            <w:pPr>
              <w:pStyle w:val="Tableheading"/>
            </w:pPr>
            <w:r w:rsidRPr="00207B93">
              <w:t>Unit 3</w:t>
            </w:r>
          </w:p>
        </w:tc>
        <w:tc>
          <w:tcPr>
            <w:tcW w:w="2221" w:type="dxa"/>
          </w:tcPr>
          <w:p w:rsidR="00AF468C" w:rsidRPr="00207B93" w:rsidRDefault="00AF468C" w:rsidP="00207B93">
            <w:pPr>
              <w:pStyle w:val="Tableheading"/>
            </w:pPr>
            <w:r w:rsidRPr="00207B93">
              <w:t>Unit 4</w:t>
            </w:r>
          </w:p>
        </w:tc>
      </w:tr>
      <w:tr w:rsidR="00207B93" w:rsidTr="00207B93">
        <w:tc>
          <w:tcPr>
            <w:tcW w:w="2219" w:type="dxa"/>
          </w:tcPr>
          <w:p w:rsidR="00207B93" w:rsidRPr="00207B93" w:rsidRDefault="00207B93" w:rsidP="00207B93">
            <w:pPr>
              <w:pStyle w:val="Tabletext"/>
              <w:rPr>
                <w:b/>
              </w:rPr>
            </w:pPr>
            <w:r w:rsidRPr="00207B93">
              <w:rPr>
                <w:b/>
              </w:rPr>
              <w:t>Beyond reasonable doubt</w:t>
            </w:r>
          </w:p>
          <w:p w:rsidR="00207B93" w:rsidRPr="002E14D3" w:rsidRDefault="00207B93" w:rsidP="00207B93">
            <w:pPr>
              <w:pStyle w:val="TableBullet"/>
            </w:pPr>
            <w:r w:rsidRPr="002E14D3">
              <w:t>Legal foundations</w:t>
            </w:r>
          </w:p>
          <w:p w:rsidR="00207B93" w:rsidRPr="002E14D3" w:rsidRDefault="00207B93" w:rsidP="00207B93">
            <w:pPr>
              <w:pStyle w:val="TableBullet"/>
            </w:pPr>
            <w:r w:rsidRPr="002E14D3">
              <w:t>Criminal investigation process</w:t>
            </w:r>
          </w:p>
          <w:p w:rsidR="00207B93" w:rsidRPr="002E14D3" w:rsidRDefault="00207B93" w:rsidP="00207B93">
            <w:pPr>
              <w:pStyle w:val="TableBullet"/>
            </w:pPr>
            <w:r w:rsidRPr="002E14D3">
              <w:t>Criminal trial process</w:t>
            </w:r>
          </w:p>
          <w:p w:rsidR="00207B93" w:rsidRDefault="00207B93" w:rsidP="00207B93">
            <w:pPr>
              <w:pStyle w:val="TableBullet"/>
            </w:pPr>
            <w:r w:rsidRPr="002E14D3">
              <w:t>Punishment and sentencing</w:t>
            </w:r>
          </w:p>
        </w:tc>
        <w:tc>
          <w:tcPr>
            <w:tcW w:w="2220" w:type="dxa"/>
          </w:tcPr>
          <w:p w:rsidR="00207B93" w:rsidRPr="00207B93" w:rsidRDefault="00207B93" w:rsidP="00207B93">
            <w:pPr>
              <w:pStyle w:val="Tabletext"/>
              <w:rPr>
                <w:b/>
              </w:rPr>
            </w:pPr>
            <w:r w:rsidRPr="00207B93">
              <w:rPr>
                <w:b/>
              </w:rPr>
              <w:t>Balance of probabilities</w:t>
            </w:r>
          </w:p>
          <w:p w:rsidR="00207B93" w:rsidRDefault="00207B93" w:rsidP="00207B93">
            <w:pPr>
              <w:pStyle w:val="TableBullet"/>
              <w:rPr>
                <w:shd w:val="clear" w:color="auto" w:fill="FFFFFF"/>
              </w:rPr>
            </w:pPr>
            <w:r>
              <w:rPr>
                <w:shd w:val="clear" w:color="auto" w:fill="FFFFFF"/>
              </w:rPr>
              <w:t>Civil law foundations</w:t>
            </w:r>
          </w:p>
          <w:p w:rsidR="00207B93" w:rsidRDefault="00207B93" w:rsidP="00207B93">
            <w:pPr>
              <w:pStyle w:val="TableBullet"/>
              <w:rPr>
                <w:shd w:val="clear" w:color="auto" w:fill="FFFFFF"/>
              </w:rPr>
            </w:pPr>
            <w:r>
              <w:rPr>
                <w:shd w:val="clear" w:color="auto" w:fill="FFFFFF"/>
              </w:rPr>
              <w:t>Contractual obligations</w:t>
            </w:r>
          </w:p>
          <w:p w:rsidR="00207B93" w:rsidRDefault="00207B93" w:rsidP="00207B93">
            <w:pPr>
              <w:pStyle w:val="TableBullet"/>
            </w:pPr>
            <w:r>
              <w:rPr>
                <w:shd w:val="clear" w:color="auto" w:fill="FFFFFF"/>
              </w:rPr>
              <w:t>Negligence and the duty of care</w:t>
            </w:r>
          </w:p>
        </w:tc>
        <w:tc>
          <w:tcPr>
            <w:tcW w:w="2220" w:type="dxa"/>
            <w:shd w:val="clear" w:color="auto" w:fill="auto"/>
          </w:tcPr>
          <w:p w:rsidR="00207B93" w:rsidRPr="00207B93" w:rsidRDefault="00207B93" w:rsidP="00207B93">
            <w:pPr>
              <w:pStyle w:val="Tabletext"/>
              <w:rPr>
                <w:b/>
              </w:rPr>
            </w:pPr>
            <w:r w:rsidRPr="00207B93">
              <w:rPr>
                <w:b/>
              </w:rPr>
              <w:t>Law, governance and change</w:t>
            </w:r>
          </w:p>
          <w:p w:rsidR="00207B93" w:rsidRDefault="00207B93" w:rsidP="00207B93">
            <w:pPr>
              <w:pStyle w:val="TableBullet"/>
              <w:rPr>
                <w:shd w:val="clear" w:color="auto" w:fill="FFFFFF"/>
              </w:rPr>
            </w:pPr>
            <w:r>
              <w:rPr>
                <w:shd w:val="clear" w:color="auto" w:fill="FFFFFF"/>
              </w:rPr>
              <w:t>Governance in Australia</w:t>
            </w:r>
          </w:p>
          <w:p w:rsidR="00207B93" w:rsidRDefault="00207B93" w:rsidP="00207B93">
            <w:pPr>
              <w:pStyle w:val="TableBullet"/>
            </w:pPr>
            <w:r>
              <w:rPr>
                <w:shd w:val="clear" w:color="auto" w:fill="FFFFFF"/>
              </w:rPr>
              <w:t>Law reform within a dynamic society</w:t>
            </w:r>
          </w:p>
        </w:tc>
        <w:tc>
          <w:tcPr>
            <w:tcW w:w="2221" w:type="dxa"/>
            <w:shd w:val="clear" w:color="auto" w:fill="auto"/>
          </w:tcPr>
          <w:p w:rsidR="00207B93" w:rsidRPr="00207B93" w:rsidRDefault="00207B93" w:rsidP="00207B93">
            <w:pPr>
              <w:pStyle w:val="Tabletext"/>
              <w:rPr>
                <w:b/>
              </w:rPr>
            </w:pPr>
            <w:r w:rsidRPr="00207B93">
              <w:rPr>
                <w:b/>
              </w:rPr>
              <w:t>Human rights in legal contexts</w:t>
            </w:r>
          </w:p>
          <w:p w:rsidR="00207B93" w:rsidRDefault="00207B93" w:rsidP="00207B93">
            <w:pPr>
              <w:pStyle w:val="TableBullet"/>
              <w:rPr>
                <w:shd w:val="clear" w:color="auto" w:fill="FFFFFF"/>
              </w:rPr>
            </w:pPr>
            <w:r>
              <w:rPr>
                <w:shd w:val="clear" w:color="auto" w:fill="FFFFFF"/>
              </w:rPr>
              <w:t>Human rights</w:t>
            </w:r>
          </w:p>
          <w:p w:rsidR="00207B93" w:rsidRDefault="00207B93" w:rsidP="00207B93">
            <w:pPr>
              <w:pStyle w:val="TableBullet"/>
              <w:rPr>
                <w:shd w:val="clear" w:color="auto" w:fill="FFFFFF"/>
              </w:rPr>
            </w:pPr>
            <w:r>
              <w:rPr>
                <w:shd w:val="clear" w:color="auto" w:fill="FFFFFF"/>
              </w:rPr>
              <w:t>The effectiveness of international law</w:t>
            </w:r>
          </w:p>
          <w:p w:rsidR="00207B93" w:rsidRDefault="00207B93" w:rsidP="00207B93">
            <w:pPr>
              <w:pStyle w:val="TableBullet"/>
            </w:pPr>
            <w:r>
              <w:rPr>
                <w:shd w:val="clear" w:color="auto" w:fill="FFFFFF"/>
              </w:rPr>
              <w:t>Human rights in Australian contexts</w:t>
            </w:r>
          </w:p>
        </w:tc>
      </w:tr>
    </w:tbl>
    <w:p w:rsidR="00207B93" w:rsidRPr="009F47CD" w:rsidRDefault="00207B93" w:rsidP="009F47CD"/>
    <w:p w:rsidR="00207B93" w:rsidRPr="009F47CD" w:rsidRDefault="00207B93" w:rsidP="009F47CD">
      <w:r w:rsidRPr="009F47CD">
        <w:br w:type="page"/>
      </w:r>
    </w:p>
    <w:p w:rsidR="00207B93" w:rsidRDefault="00207B93" w:rsidP="00207B93">
      <w:pPr>
        <w:pStyle w:val="Heading3"/>
      </w:pPr>
      <w:bookmarkStart w:id="173" w:name="_Toc16163550"/>
      <w:r>
        <w:t>Assessment</w:t>
      </w:r>
      <w:bookmarkEnd w:id="173"/>
    </w:p>
    <w:p w:rsidR="00316849" w:rsidRDefault="00316849" w:rsidP="00316849">
      <w:pPr>
        <w:pStyle w:val="BodyText"/>
      </w:pPr>
      <w:r>
        <w:t>S</w:t>
      </w:r>
      <w:r w:rsidRPr="008C3C06">
        <w:t>chools devise assessment</w:t>
      </w:r>
      <w:r>
        <w:t>s</w:t>
      </w:r>
      <w:r w:rsidRPr="008C3C06">
        <w:t xml:space="preserve"> </w:t>
      </w:r>
      <w:r>
        <w:t>i</w:t>
      </w:r>
      <w:r w:rsidRPr="008C3C06">
        <w:t>n Units 1 and 2 to suit their local context.</w:t>
      </w:r>
      <w:r>
        <w:t xml:space="preserve"> </w:t>
      </w:r>
    </w:p>
    <w:p w:rsidR="00316849" w:rsidRDefault="00316849" w:rsidP="00316849">
      <w:pPr>
        <w:pStyle w:val="BodyText"/>
      </w:pPr>
      <w:r>
        <w:t>I</w:t>
      </w:r>
      <w:r w:rsidRPr="008C3C06">
        <w:t xml:space="preserve">n Units 3 and 4 </w:t>
      </w:r>
      <w:r>
        <w:t>s</w:t>
      </w:r>
      <w:r w:rsidRPr="008C3C06">
        <w:t>tudents complete four summative assessments</w:t>
      </w:r>
      <w:r>
        <w:t>. The results from each of the assessments are added together to prov</w:t>
      </w:r>
      <w:r w:rsidR="00501FB0">
        <w:t>ide a subject score out of 100.</w:t>
      </w:r>
      <w:r>
        <w:t xml:space="preserve"> Students will also receive an overall subject result (</w:t>
      </w:r>
      <w:r w:rsidR="003A1232">
        <w:t>A–E</w:t>
      </w:r>
      <w:r>
        <w:t>).</w:t>
      </w:r>
    </w:p>
    <w:p w:rsidR="000D2D7A" w:rsidRDefault="000D2D7A" w:rsidP="00D72BFA">
      <w:pPr>
        <w:pStyle w:val="Caption"/>
        <w:rPr>
          <w:noProof/>
        </w:rPr>
      </w:pPr>
      <w:r>
        <w:t>Summative assessments</w:t>
      </w:r>
    </w:p>
    <w:tbl>
      <w:tblPr>
        <w:tblStyle w:val="QCAAtablestyle1"/>
        <w:tblW w:w="4900" w:type="pct"/>
        <w:tblLayout w:type="fixed"/>
        <w:tblLook w:val="04A0" w:firstRow="1" w:lastRow="0" w:firstColumn="1" w:lastColumn="0" w:noHBand="0" w:noVBand="1"/>
      </w:tblPr>
      <w:tblGrid>
        <w:gridCol w:w="4089"/>
        <w:gridCol w:w="726"/>
        <w:gridCol w:w="3339"/>
        <w:gridCol w:w="726"/>
      </w:tblGrid>
      <w:tr w:rsidR="00A01533" w:rsidTr="003D2736">
        <w:trPr>
          <w:cnfStyle w:val="100000000000" w:firstRow="1" w:lastRow="0" w:firstColumn="0" w:lastColumn="0" w:oddVBand="0" w:evenVBand="0" w:oddHBand="0" w:evenHBand="0" w:firstRowFirstColumn="0" w:firstRowLastColumn="0" w:lastRowFirstColumn="0" w:lastRowLastColumn="0"/>
        </w:trPr>
        <w:tc>
          <w:tcPr>
            <w:tcW w:w="4702" w:type="dxa"/>
            <w:gridSpan w:val="2"/>
          </w:tcPr>
          <w:p w:rsidR="00A01533" w:rsidRDefault="00A01533" w:rsidP="00207B93">
            <w:pPr>
              <w:pStyle w:val="Tableheading"/>
            </w:pPr>
            <w:r>
              <w:t>Unit 3</w:t>
            </w:r>
          </w:p>
        </w:tc>
        <w:tc>
          <w:tcPr>
            <w:tcW w:w="3969" w:type="dxa"/>
            <w:gridSpan w:val="2"/>
          </w:tcPr>
          <w:p w:rsidR="00A01533" w:rsidRDefault="00A01533" w:rsidP="00207B93">
            <w:pPr>
              <w:pStyle w:val="Tableheading"/>
            </w:pPr>
            <w:r>
              <w:t>Unit 4</w:t>
            </w:r>
          </w:p>
        </w:tc>
      </w:tr>
      <w:tr w:rsidR="00A01533" w:rsidTr="003D2736">
        <w:tc>
          <w:tcPr>
            <w:tcW w:w="3993" w:type="dxa"/>
          </w:tcPr>
          <w:p w:rsidR="00A01533" w:rsidRDefault="00A01533" w:rsidP="00207B93">
            <w:pPr>
              <w:pStyle w:val="Tabletext"/>
            </w:pPr>
            <w:r>
              <w:t xml:space="preserve">Summative internal assessment 1 (IA1): </w:t>
            </w:r>
          </w:p>
          <w:p w:rsidR="00A01533" w:rsidRDefault="00A01533" w:rsidP="008C3C06">
            <w:pPr>
              <w:pStyle w:val="TableBullet"/>
            </w:pPr>
            <w:r>
              <w:t xml:space="preserve">Examination </w:t>
            </w:r>
            <w:r w:rsidR="009B1B64">
              <w:t xml:space="preserve">— </w:t>
            </w:r>
            <w:r>
              <w:t>combination response</w:t>
            </w:r>
          </w:p>
        </w:tc>
        <w:tc>
          <w:tcPr>
            <w:tcW w:w="709" w:type="dxa"/>
          </w:tcPr>
          <w:p w:rsidR="00A01533" w:rsidRDefault="00A01533" w:rsidP="00207B93">
            <w:pPr>
              <w:pStyle w:val="Tabletext"/>
            </w:pPr>
            <w:r>
              <w:t>25%</w:t>
            </w:r>
          </w:p>
        </w:tc>
        <w:tc>
          <w:tcPr>
            <w:tcW w:w="3260" w:type="dxa"/>
          </w:tcPr>
          <w:p w:rsidR="00A01533" w:rsidRDefault="00A01533" w:rsidP="00207B93">
            <w:pPr>
              <w:pStyle w:val="Tabletext"/>
            </w:pPr>
            <w:r>
              <w:t xml:space="preserve">Summative internal assessment 3 (IA3): </w:t>
            </w:r>
          </w:p>
          <w:p w:rsidR="00A01533" w:rsidRDefault="00A01533" w:rsidP="008C3C06">
            <w:pPr>
              <w:pStyle w:val="TableBullet"/>
            </w:pPr>
            <w:r>
              <w:t xml:space="preserve">Investigation </w:t>
            </w:r>
            <w:r w:rsidR="009B1B64">
              <w:t xml:space="preserve">— </w:t>
            </w:r>
            <w:r>
              <w:t>argumentative essay</w:t>
            </w:r>
          </w:p>
        </w:tc>
        <w:tc>
          <w:tcPr>
            <w:tcW w:w="709" w:type="dxa"/>
          </w:tcPr>
          <w:p w:rsidR="00A01533" w:rsidRDefault="00A01533" w:rsidP="00207B93">
            <w:pPr>
              <w:pStyle w:val="Tabletext"/>
            </w:pPr>
            <w:r>
              <w:t>25%</w:t>
            </w:r>
          </w:p>
        </w:tc>
      </w:tr>
      <w:tr w:rsidR="00A01533" w:rsidTr="003D2736">
        <w:tc>
          <w:tcPr>
            <w:tcW w:w="3993" w:type="dxa"/>
          </w:tcPr>
          <w:p w:rsidR="00A01533" w:rsidRDefault="00A01533" w:rsidP="00207B93">
            <w:pPr>
              <w:pStyle w:val="Tabletext"/>
            </w:pPr>
            <w:r>
              <w:t>Summative internal assessm</w:t>
            </w:r>
            <w:r w:rsidR="00501FB0">
              <w:t xml:space="preserve">ent 2 (IA2): </w:t>
            </w:r>
          </w:p>
          <w:p w:rsidR="00A01533" w:rsidRDefault="00A01533" w:rsidP="008C3C06">
            <w:pPr>
              <w:pStyle w:val="TableBullet"/>
            </w:pPr>
            <w:r>
              <w:t xml:space="preserve">Investigation </w:t>
            </w:r>
            <w:r w:rsidR="009B1B64">
              <w:t xml:space="preserve">— </w:t>
            </w:r>
            <w:r>
              <w:t>inquiry report</w:t>
            </w:r>
          </w:p>
        </w:tc>
        <w:tc>
          <w:tcPr>
            <w:tcW w:w="709" w:type="dxa"/>
          </w:tcPr>
          <w:p w:rsidR="00A01533" w:rsidRDefault="00A01533" w:rsidP="00207B93">
            <w:pPr>
              <w:pStyle w:val="Tabletext"/>
            </w:pPr>
            <w:r>
              <w:t>25%</w:t>
            </w:r>
          </w:p>
        </w:tc>
        <w:tc>
          <w:tcPr>
            <w:tcW w:w="3260" w:type="dxa"/>
          </w:tcPr>
          <w:p w:rsidR="00A01533" w:rsidRDefault="00A01533" w:rsidP="00207B93">
            <w:pPr>
              <w:pStyle w:val="Tabletext"/>
            </w:pPr>
            <w:r>
              <w:t xml:space="preserve">Summative external assessment (EA): </w:t>
            </w:r>
          </w:p>
          <w:p w:rsidR="00A01533" w:rsidRDefault="00A01533" w:rsidP="008C3C06">
            <w:pPr>
              <w:pStyle w:val="TableBullet"/>
            </w:pPr>
            <w:r>
              <w:t xml:space="preserve">Examination </w:t>
            </w:r>
            <w:r w:rsidR="009B1B64">
              <w:t xml:space="preserve">— </w:t>
            </w:r>
            <w:r>
              <w:t>combination response</w:t>
            </w:r>
          </w:p>
        </w:tc>
        <w:tc>
          <w:tcPr>
            <w:tcW w:w="709" w:type="dxa"/>
          </w:tcPr>
          <w:p w:rsidR="00A01533" w:rsidRDefault="00A01533" w:rsidP="00207B93">
            <w:pPr>
              <w:pStyle w:val="Tabletext"/>
            </w:pPr>
            <w:r>
              <w:t>25%</w:t>
            </w:r>
          </w:p>
        </w:tc>
      </w:tr>
    </w:tbl>
    <w:p w:rsidR="00207B93" w:rsidRDefault="00207B93" w:rsidP="00207B93"/>
    <w:p w:rsidR="00207B93" w:rsidRDefault="00207B93" w:rsidP="00207B93">
      <w:r>
        <w:br w:type="page"/>
      </w:r>
    </w:p>
    <w:tbl>
      <w:tblPr>
        <w:tblStyle w:val="TextLayout"/>
        <w:tblW w:w="5650" w:type="pct"/>
        <w:tblInd w:w="-170" w:type="dxa"/>
        <w:tblLayout w:type="fixed"/>
        <w:tblLook w:val="04A0" w:firstRow="1" w:lastRow="0" w:firstColumn="1" w:lastColumn="0" w:noHBand="0" w:noVBand="1"/>
      </w:tblPr>
      <w:tblGrid>
        <w:gridCol w:w="141"/>
        <w:gridCol w:w="9264"/>
        <w:gridCol w:w="845"/>
      </w:tblGrid>
      <w:tr w:rsidR="00BE0C34" w:rsidRPr="003B6F39" w:rsidTr="00BE0C34">
        <w:trPr>
          <w:trHeight w:hRule="exact" w:val="851"/>
        </w:trPr>
        <w:tc>
          <w:tcPr>
            <w:tcW w:w="142" w:type="dxa"/>
            <w:shd w:val="clear" w:color="auto" w:fill="E1231A"/>
          </w:tcPr>
          <w:p w:rsidR="00BE0C34" w:rsidRDefault="00BE0C34" w:rsidP="00BE0C34">
            <w:pPr>
              <w:pStyle w:val="Tabletext"/>
            </w:pPr>
          </w:p>
        </w:tc>
        <w:tc>
          <w:tcPr>
            <w:tcW w:w="9323" w:type="dxa"/>
            <w:tcMar>
              <w:left w:w="57" w:type="dxa"/>
            </w:tcMar>
            <w:vAlign w:val="center"/>
          </w:tcPr>
          <w:p w:rsidR="00BE0C34" w:rsidRDefault="00BE0C34" w:rsidP="00CD2D5C">
            <w:pPr>
              <w:pStyle w:val="SubjectHeading"/>
            </w:pPr>
            <w:r>
              <w:t>Modern History</w:t>
            </w:r>
          </w:p>
          <w:p w:rsidR="00BE0C34" w:rsidRPr="00E86C01" w:rsidRDefault="00BE0C34" w:rsidP="00BE0C34">
            <w:pPr>
              <w:pStyle w:val="Heading3"/>
              <w:spacing w:before="0" w:after="0"/>
            </w:pPr>
            <w:bookmarkStart w:id="174" w:name="_Toc16163551"/>
            <w:r>
              <w:t>General senior subject</w:t>
            </w:r>
            <w:bookmarkEnd w:id="174"/>
          </w:p>
        </w:tc>
        <w:tc>
          <w:tcPr>
            <w:tcW w:w="850" w:type="dxa"/>
            <w:shd w:val="clear" w:color="auto" w:fill="E1231A"/>
            <w:tcMar>
              <w:bottom w:w="28" w:type="dxa"/>
              <w:right w:w="57" w:type="dxa"/>
            </w:tcMar>
            <w:vAlign w:val="bottom"/>
          </w:tcPr>
          <w:p w:rsidR="00BE0C34" w:rsidRPr="00BE0C34" w:rsidRDefault="00BE0C34" w:rsidP="00BE0C34">
            <w:pPr>
              <w:pStyle w:val="Heading3"/>
              <w:spacing w:before="0" w:after="100" w:afterAutospacing="1"/>
              <w:jc w:val="right"/>
              <w:rPr>
                <w:color w:val="FFFFFF" w:themeColor="background1"/>
                <w:sz w:val="17"/>
                <w:szCs w:val="17"/>
              </w:rPr>
            </w:pPr>
            <w:bookmarkStart w:id="175" w:name="_Toc16163552"/>
            <w:r w:rsidRPr="00BE0C34">
              <w:rPr>
                <w:color w:val="FFFFFF" w:themeColor="background1"/>
                <w:sz w:val="17"/>
                <w:szCs w:val="17"/>
              </w:rPr>
              <w:t>General</w:t>
            </w:r>
            <w:bookmarkEnd w:id="175"/>
          </w:p>
        </w:tc>
      </w:tr>
      <w:tr w:rsidR="00BE0C34" w:rsidRPr="003B6F39" w:rsidTr="00BE0C34">
        <w:trPr>
          <w:trHeight w:hRule="exact" w:val="113"/>
        </w:trPr>
        <w:tc>
          <w:tcPr>
            <w:tcW w:w="10315" w:type="dxa"/>
            <w:gridSpan w:val="3"/>
            <w:shd w:val="clear" w:color="auto" w:fill="auto"/>
          </w:tcPr>
          <w:p w:rsidR="00BE0C34" w:rsidRPr="00E86C01" w:rsidRDefault="00BE0C34" w:rsidP="00BE0C34">
            <w:pPr>
              <w:pStyle w:val="Smallspace"/>
            </w:pPr>
          </w:p>
        </w:tc>
      </w:tr>
    </w:tbl>
    <w:p w:rsidR="00207B93" w:rsidRDefault="00207B93" w:rsidP="00AF468C">
      <w:pPr>
        <w:pStyle w:val="BodyText"/>
        <w:spacing w:before="120"/>
        <w:rPr>
          <w:noProof/>
        </w:rPr>
        <w:sectPr w:rsidR="00207B93" w:rsidSect="005F3A96">
          <w:type w:val="continuous"/>
          <w:pgSz w:w="11907" w:h="16840" w:code="9"/>
          <w:pgMar w:top="1134" w:right="1418" w:bottom="1701" w:left="1418" w:header="567" w:footer="284" w:gutter="0"/>
          <w:cols w:space="720"/>
          <w:formProt w:val="0"/>
          <w:noEndnote/>
          <w:docGrid w:linePitch="299"/>
        </w:sectPr>
      </w:pPr>
    </w:p>
    <w:p w:rsidR="00207B93" w:rsidRDefault="00207B93" w:rsidP="00207B93">
      <w:pPr>
        <w:pStyle w:val="BodyText"/>
      </w:pPr>
      <w:r w:rsidRPr="002E14D3">
        <w:t xml:space="preserve">Modern History </w:t>
      </w:r>
      <w:r>
        <w:t>provides opportunities for</w:t>
      </w:r>
      <w:r w:rsidRPr="002E14D3">
        <w:t xml:space="preserve"> students </w:t>
      </w:r>
      <w:r>
        <w:t xml:space="preserve">to </w:t>
      </w:r>
      <w:r w:rsidRPr="002E14D3">
        <w:t>gain historical knowledge and understanding about some of the main forces that have contributed to the d</w:t>
      </w:r>
      <w:r w:rsidRPr="00700191">
        <w:t>evelopment of the Modern World</w:t>
      </w:r>
      <w:r>
        <w:t xml:space="preserve"> and to </w:t>
      </w:r>
      <w:r w:rsidRPr="002E14D3">
        <w:rPr>
          <w:rStyle w:val="crossreference0"/>
        </w:rPr>
        <w:t>think historically</w:t>
      </w:r>
      <w:r w:rsidRPr="002E14D3">
        <w:t> and form a </w:t>
      </w:r>
      <w:r w:rsidRPr="002E14D3">
        <w:rPr>
          <w:rStyle w:val="crossreference0"/>
        </w:rPr>
        <w:t>historical consciousness</w:t>
      </w:r>
      <w:r w:rsidRPr="002E14D3">
        <w:t xml:space="preserve"> in relation to these same forces. </w:t>
      </w:r>
    </w:p>
    <w:p w:rsidR="00CF5057" w:rsidRDefault="00CF5057" w:rsidP="00CF5057">
      <w:pPr>
        <w:pStyle w:val="BodyText"/>
        <w:rPr>
          <w:shd w:val="clear" w:color="auto" w:fill="FFFFFF"/>
        </w:rPr>
      </w:pPr>
      <w:r>
        <w:rPr>
          <w:shd w:val="clear" w:color="auto" w:fill="FFFFFF"/>
        </w:rPr>
        <w:t>Modern History enables students to empathise with others and make meaningful connections between the past, present and possible futures.</w:t>
      </w:r>
    </w:p>
    <w:p w:rsidR="00207B93" w:rsidRPr="00BB25BD" w:rsidRDefault="00207B93" w:rsidP="00207B93">
      <w:pPr>
        <w:pStyle w:val="BodyText"/>
      </w:pPr>
      <w:r w:rsidRPr="002E14D3">
        <w:t xml:space="preserve">Students learn that the past is contestable and tentative. </w:t>
      </w:r>
      <w:r w:rsidR="00CF5057">
        <w:t xml:space="preserve">Through inquiry into </w:t>
      </w:r>
      <w:r w:rsidR="00CF5057" w:rsidRPr="00CF5057">
        <w:t>ideas, movements, national experiences and international experiences</w:t>
      </w:r>
      <w:r w:rsidR="00CF5057">
        <w:t xml:space="preserve"> t</w:t>
      </w:r>
      <w:r w:rsidRPr="002E14D3">
        <w:t>hey discover how the past consists of various perspectives and interpretations.</w:t>
      </w:r>
      <w:r w:rsidRPr="00700191">
        <w:t xml:space="preserve"> </w:t>
      </w:r>
    </w:p>
    <w:p w:rsidR="00207B93" w:rsidRPr="002E14D3" w:rsidRDefault="00207B93" w:rsidP="00207B93">
      <w:pPr>
        <w:pStyle w:val="BodyText"/>
      </w:pPr>
      <w:r w:rsidRPr="002E14D3">
        <w:t>Students gain a range of transferable skills that will help them become empathetic and critically-literate citizens who are equipped to embrace a multicultural, pluralistic, inclusive, democratic, compassionate and sustainable future.</w:t>
      </w:r>
    </w:p>
    <w:p w:rsidR="00207B93" w:rsidRDefault="00207B93" w:rsidP="00BE0C34">
      <w:pPr>
        <w:pStyle w:val="Heading3"/>
        <w:spacing w:before="120"/>
      </w:pPr>
      <w:bookmarkStart w:id="176" w:name="_Toc16163553"/>
      <w:r>
        <w:t>Pathways</w:t>
      </w:r>
      <w:bookmarkEnd w:id="176"/>
    </w:p>
    <w:p w:rsidR="00207B93" w:rsidRDefault="00207B93" w:rsidP="00207B93">
      <w:pPr>
        <w:pStyle w:val="BodyText"/>
      </w:pPr>
      <w:r w:rsidRPr="002E14D3">
        <w:t>A course of study in Modern History can establish a basis for further education and employment in the fields of history, education, psychology, sociology, law, business, economics, politics, journalism, the media, writing, academia and strategic analysis.</w:t>
      </w:r>
    </w:p>
    <w:p w:rsidR="00207B93" w:rsidRDefault="00207B93" w:rsidP="00207B93">
      <w:pPr>
        <w:pStyle w:val="Heading3"/>
      </w:pPr>
      <w:bookmarkStart w:id="177" w:name="_Toc16163554"/>
      <w:r>
        <w:t>Objectives</w:t>
      </w:r>
      <w:bookmarkEnd w:id="177"/>
    </w:p>
    <w:p w:rsidR="00207B93" w:rsidRPr="002E14D3" w:rsidRDefault="00207B93" w:rsidP="00207B93">
      <w:pPr>
        <w:pStyle w:val="BodyText"/>
      </w:pPr>
      <w:r w:rsidRPr="002E14D3">
        <w:t>By the conclusion of the course of study, students will:</w:t>
      </w:r>
    </w:p>
    <w:p w:rsidR="00207B93" w:rsidRPr="002E14D3" w:rsidRDefault="00207B93" w:rsidP="00207B93">
      <w:pPr>
        <w:pStyle w:val="ListBullet0"/>
      </w:pPr>
      <w:r w:rsidRPr="002E14D3">
        <w:t>comprehend terms, issues and concepts</w:t>
      </w:r>
    </w:p>
    <w:p w:rsidR="00207B93" w:rsidRPr="002E14D3" w:rsidRDefault="00207B93" w:rsidP="00207B93">
      <w:pPr>
        <w:pStyle w:val="ListBullet0"/>
      </w:pPr>
      <w:r w:rsidRPr="002E14D3">
        <w:t>devise historical questions and conduct research</w:t>
      </w:r>
    </w:p>
    <w:p w:rsidR="00207B93" w:rsidRPr="002E14D3" w:rsidRDefault="00207B93" w:rsidP="00207B93">
      <w:pPr>
        <w:pStyle w:val="ListBullet0"/>
      </w:pPr>
      <w:r w:rsidRPr="002E14D3">
        <w:t>analyse historical sources and evidence</w:t>
      </w:r>
    </w:p>
    <w:p w:rsidR="00207B93" w:rsidRPr="002E14D3" w:rsidRDefault="00207B93" w:rsidP="00207B93">
      <w:pPr>
        <w:pStyle w:val="ListBullet0"/>
      </w:pPr>
      <w:r w:rsidRPr="002E14D3">
        <w:t>synthesise information from historical sources and evidence</w:t>
      </w:r>
    </w:p>
    <w:p w:rsidR="00207B93" w:rsidRPr="002E14D3" w:rsidRDefault="00207B93" w:rsidP="00207B93">
      <w:pPr>
        <w:pStyle w:val="ListBullet0"/>
      </w:pPr>
      <w:r w:rsidRPr="002E14D3">
        <w:t>evaluate historical interpretations</w:t>
      </w:r>
    </w:p>
    <w:p w:rsidR="00207B93" w:rsidRPr="002E14D3" w:rsidRDefault="00207B93" w:rsidP="00207B93">
      <w:pPr>
        <w:pStyle w:val="ListBullet0"/>
      </w:pPr>
      <w:r w:rsidRPr="002E14D3">
        <w:t>create responses that communicate meaning.</w:t>
      </w:r>
    </w:p>
    <w:p w:rsidR="00207B93" w:rsidRDefault="00207B93" w:rsidP="00AF468C">
      <w:pPr>
        <w:pStyle w:val="Heading3"/>
        <w:sectPr w:rsidR="00207B93" w:rsidSect="005F3A96">
          <w:type w:val="continuous"/>
          <w:pgSz w:w="11907" w:h="16840" w:code="9"/>
          <w:pgMar w:top="1134" w:right="1418" w:bottom="1701" w:left="1418" w:header="567" w:footer="284" w:gutter="0"/>
          <w:cols w:num="2" w:space="720"/>
          <w:formProt w:val="0"/>
          <w:noEndnote/>
          <w:docGrid w:linePitch="299"/>
        </w:sectPr>
      </w:pPr>
    </w:p>
    <w:p w:rsidR="00AF468C" w:rsidRDefault="00AF468C" w:rsidP="00AF468C">
      <w:pPr>
        <w:pStyle w:val="Heading3"/>
      </w:pPr>
      <w:bookmarkStart w:id="178" w:name="_Toc16163555"/>
      <w:r>
        <w:t>Structure</w:t>
      </w:r>
      <w:bookmarkEnd w:id="178"/>
    </w:p>
    <w:tbl>
      <w:tblPr>
        <w:tblStyle w:val="QCAAtablestyle1"/>
        <w:tblW w:w="4900" w:type="pct"/>
        <w:tblLook w:val="04A0" w:firstRow="1" w:lastRow="0" w:firstColumn="1" w:lastColumn="0" w:noHBand="0" w:noVBand="1"/>
      </w:tblPr>
      <w:tblGrid>
        <w:gridCol w:w="2133"/>
        <w:gridCol w:w="2163"/>
        <w:gridCol w:w="2148"/>
        <w:gridCol w:w="2436"/>
      </w:tblGrid>
      <w:tr w:rsidR="00AF468C" w:rsidTr="00CC65E7">
        <w:trPr>
          <w:cnfStyle w:val="100000000000" w:firstRow="1" w:lastRow="0" w:firstColumn="0" w:lastColumn="0" w:oddVBand="0" w:evenVBand="0" w:oddHBand="0" w:evenHBand="0" w:firstRowFirstColumn="0" w:firstRowLastColumn="0" w:lastRowFirstColumn="0" w:lastRowLastColumn="0"/>
          <w:tblHeader/>
        </w:trPr>
        <w:tc>
          <w:tcPr>
            <w:tcW w:w="2133" w:type="dxa"/>
          </w:tcPr>
          <w:p w:rsidR="00AF468C" w:rsidRPr="00207B93" w:rsidRDefault="00AF468C" w:rsidP="00207B93">
            <w:pPr>
              <w:pStyle w:val="Tableheading"/>
            </w:pPr>
            <w:r w:rsidRPr="00207B93">
              <w:t>Unit 1</w:t>
            </w:r>
          </w:p>
        </w:tc>
        <w:tc>
          <w:tcPr>
            <w:tcW w:w="2163" w:type="dxa"/>
          </w:tcPr>
          <w:p w:rsidR="00AF468C" w:rsidRPr="00207B93" w:rsidRDefault="00AF468C" w:rsidP="00207B93">
            <w:pPr>
              <w:pStyle w:val="Tableheading"/>
            </w:pPr>
            <w:r w:rsidRPr="00207B93">
              <w:t>Unit 2</w:t>
            </w:r>
          </w:p>
        </w:tc>
        <w:tc>
          <w:tcPr>
            <w:tcW w:w="2148" w:type="dxa"/>
          </w:tcPr>
          <w:p w:rsidR="00AF468C" w:rsidRPr="00207B93" w:rsidRDefault="00AF468C" w:rsidP="00207B93">
            <w:pPr>
              <w:pStyle w:val="Tableheading"/>
            </w:pPr>
            <w:r w:rsidRPr="00207B93">
              <w:t>Unit 3</w:t>
            </w:r>
          </w:p>
        </w:tc>
        <w:tc>
          <w:tcPr>
            <w:tcW w:w="2436" w:type="dxa"/>
          </w:tcPr>
          <w:p w:rsidR="00AF468C" w:rsidRPr="00207B93" w:rsidRDefault="00AF468C" w:rsidP="00207B93">
            <w:pPr>
              <w:pStyle w:val="Tableheading"/>
            </w:pPr>
            <w:r w:rsidRPr="00207B93">
              <w:t>Unit 4</w:t>
            </w:r>
          </w:p>
        </w:tc>
      </w:tr>
      <w:tr w:rsidR="00207B93" w:rsidTr="00207B93">
        <w:tc>
          <w:tcPr>
            <w:tcW w:w="2133" w:type="dxa"/>
          </w:tcPr>
          <w:p w:rsidR="00207B93" w:rsidRPr="00207B93" w:rsidRDefault="00207B93" w:rsidP="00207B93">
            <w:pPr>
              <w:pStyle w:val="Tabletext"/>
              <w:rPr>
                <w:b/>
              </w:rPr>
            </w:pPr>
            <w:r w:rsidRPr="00207B93">
              <w:rPr>
                <w:b/>
              </w:rPr>
              <w:t xml:space="preserve">Ideas in the modern world </w:t>
            </w:r>
          </w:p>
          <w:p w:rsidR="00207B93" w:rsidRPr="00700191" w:rsidRDefault="00207B93" w:rsidP="00207B93">
            <w:pPr>
              <w:pStyle w:val="TableBullet"/>
            </w:pPr>
            <w:r w:rsidRPr="002E14D3">
              <w:t xml:space="preserve">Australian Frontier Wars, </w:t>
            </w:r>
            <w:r w:rsidR="00CC65E7">
              <w:br/>
            </w:r>
            <w:r w:rsidRPr="002E14D3">
              <w:t>1788–1930s</w:t>
            </w:r>
          </w:p>
          <w:p w:rsidR="00207B93" w:rsidRPr="00700191" w:rsidRDefault="00207B93" w:rsidP="00207B93">
            <w:pPr>
              <w:pStyle w:val="TableBullet"/>
            </w:pPr>
            <w:r w:rsidRPr="002E14D3">
              <w:t xml:space="preserve">Age of Enlightenment, 1750s–1789 </w:t>
            </w:r>
          </w:p>
          <w:p w:rsidR="00207B93" w:rsidRPr="00700191" w:rsidRDefault="00207B93" w:rsidP="00207B93">
            <w:pPr>
              <w:pStyle w:val="TableBullet"/>
            </w:pPr>
            <w:r w:rsidRPr="002E14D3">
              <w:t xml:space="preserve">Industrial Revolution, </w:t>
            </w:r>
            <w:r w:rsidR="00CC65E7">
              <w:br/>
            </w:r>
            <w:r w:rsidRPr="002E14D3">
              <w:t>1760s–1890s</w:t>
            </w:r>
          </w:p>
          <w:p w:rsidR="00207B93" w:rsidRPr="00700191" w:rsidRDefault="00207B93" w:rsidP="00207B93">
            <w:pPr>
              <w:pStyle w:val="TableBullet"/>
            </w:pPr>
            <w:r w:rsidRPr="002E14D3">
              <w:t xml:space="preserve">American Revolution, </w:t>
            </w:r>
            <w:r w:rsidR="00CC65E7">
              <w:br/>
            </w:r>
            <w:r w:rsidRPr="002E14D3">
              <w:t>1763–1783</w:t>
            </w:r>
          </w:p>
          <w:p w:rsidR="00207B93" w:rsidRPr="00700191" w:rsidRDefault="00207B93" w:rsidP="00207B93">
            <w:pPr>
              <w:pStyle w:val="TableBullet"/>
            </w:pPr>
            <w:r w:rsidRPr="002E14D3">
              <w:t xml:space="preserve">French Revolution, </w:t>
            </w:r>
            <w:r w:rsidR="00CC65E7">
              <w:br/>
            </w:r>
            <w:r w:rsidRPr="002E14D3">
              <w:t xml:space="preserve">1789–1799 </w:t>
            </w:r>
          </w:p>
          <w:p w:rsidR="00207B93" w:rsidRDefault="00207B93" w:rsidP="00CC65E7">
            <w:pPr>
              <w:pStyle w:val="TableBullet"/>
            </w:pPr>
            <w:r w:rsidRPr="002E14D3">
              <w:t xml:space="preserve">Age of Imperialism, </w:t>
            </w:r>
            <w:r w:rsidR="00CC65E7">
              <w:br/>
            </w:r>
            <w:r w:rsidRPr="002E14D3">
              <w:t xml:space="preserve">1848–1914 </w:t>
            </w:r>
          </w:p>
          <w:p w:rsidR="007E34EA" w:rsidRDefault="007E34EA" w:rsidP="007E34EA">
            <w:pPr>
              <w:pStyle w:val="TableBullet"/>
            </w:pPr>
            <w:r w:rsidRPr="002E14D3">
              <w:t xml:space="preserve">Meiji Restoration, </w:t>
            </w:r>
            <w:r>
              <w:br/>
            </w:r>
            <w:r w:rsidRPr="002E14D3">
              <w:t xml:space="preserve">1868–1912 </w:t>
            </w:r>
          </w:p>
        </w:tc>
        <w:tc>
          <w:tcPr>
            <w:tcW w:w="2163" w:type="dxa"/>
          </w:tcPr>
          <w:p w:rsidR="00207B93" w:rsidRPr="00207B93" w:rsidRDefault="00207B93" w:rsidP="00207B93">
            <w:pPr>
              <w:pStyle w:val="Tabletext"/>
              <w:rPr>
                <w:b/>
              </w:rPr>
            </w:pPr>
            <w:r w:rsidRPr="00207B93">
              <w:rPr>
                <w:b/>
              </w:rPr>
              <w:t>Movements in the modern world</w:t>
            </w:r>
          </w:p>
          <w:p w:rsidR="00207B93" w:rsidRPr="00FF1779" w:rsidRDefault="00207B93" w:rsidP="00207B93">
            <w:pPr>
              <w:pStyle w:val="TableBullet"/>
            </w:pPr>
            <w:r w:rsidRPr="00FF1779">
              <w:t xml:space="preserve">Australian Indigenous rights movement since 1967 </w:t>
            </w:r>
          </w:p>
          <w:p w:rsidR="00207B93" w:rsidRPr="00FF1779" w:rsidRDefault="00207B93" w:rsidP="00207B93">
            <w:pPr>
              <w:pStyle w:val="TableBullet"/>
            </w:pPr>
            <w:r w:rsidRPr="00FF1779">
              <w:t xml:space="preserve">Independence movement in India, 1857–1947 </w:t>
            </w:r>
          </w:p>
          <w:p w:rsidR="00207B93" w:rsidRPr="00FF1779" w:rsidRDefault="00207B93" w:rsidP="00207B93">
            <w:pPr>
              <w:pStyle w:val="TableBullet"/>
            </w:pPr>
            <w:r w:rsidRPr="00FF1779">
              <w:t xml:space="preserve">Workers’ movement since the 1860s </w:t>
            </w:r>
          </w:p>
          <w:p w:rsidR="00207B93" w:rsidRPr="00FF1779" w:rsidRDefault="00207B93" w:rsidP="00207B93">
            <w:pPr>
              <w:pStyle w:val="TableBullet"/>
            </w:pPr>
            <w:r w:rsidRPr="00FF1779">
              <w:t xml:space="preserve">Women’s movement since 1893 </w:t>
            </w:r>
          </w:p>
          <w:p w:rsidR="00207B93" w:rsidRDefault="00207B93" w:rsidP="00CC65E7">
            <w:pPr>
              <w:pStyle w:val="TableBullet"/>
            </w:pPr>
            <w:r w:rsidRPr="00FF1779">
              <w:t>May Fourth Movement in China, 1919</w:t>
            </w:r>
          </w:p>
          <w:p w:rsidR="007E34EA" w:rsidRPr="00FF1779" w:rsidRDefault="007E34EA" w:rsidP="007E34EA">
            <w:pPr>
              <w:pStyle w:val="TableBullet"/>
            </w:pPr>
            <w:r w:rsidRPr="00FF1779">
              <w:t xml:space="preserve">Independence </w:t>
            </w:r>
            <w:r>
              <w:t>movement in Algeria, 1945–1962</w:t>
            </w:r>
          </w:p>
          <w:p w:rsidR="007E34EA" w:rsidRDefault="007E34EA" w:rsidP="007E34EA">
            <w:pPr>
              <w:pStyle w:val="TableBullet"/>
              <w:numPr>
                <w:ilvl w:val="0"/>
                <w:numId w:val="0"/>
              </w:numPr>
              <w:ind w:left="170"/>
            </w:pPr>
          </w:p>
        </w:tc>
        <w:tc>
          <w:tcPr>
            <w:tcW w:w="2148" w:type="dxa"/>
            <w:shd w:val="clear" w:color="auto" w:fill="auto"/>
          </w:tcPr>
          <w:p w:rsidR="00207B93" w:rsidRPr="00207B93" w:rsidRDefault="00207B93" w:rsidP="00207B93">
            <w:pPr>
              <w:pStyle w:val="Tabletext"/>
              <w:rPr>
                <w:b/>
              </w:rPr>
            </w:pPr>
            <w:r w:rsidRPr="00207B93">
              <w:rPr>
                <w:b/>
              </w:rPr>
              <w:t>National experiences in the modern world</w:t>
            </w:r>
          </w:p>
          <w:p w:rsidR="00207B93" w:rsidRPr="00FF1779" w:rsidRDefault="00207B93" w:rsidP="00207B93">
            <w:pPr>
              <w:pStyle w:val="TableBullet"/>
            </w:pPr>
            <w:r w:rsidRPr="00FF1779">
              <w:t xml:space="preserve">Australia, 1914–1949 </w:t>
            </w:r>
          </w:p>
          <w:p w:rsidR="00207B93" w:rsidRPr="00FF1779" w:rsidRDefault="00207B93" w:rsidP="00207B93">
            <w:pPr>
              <w:pStyle w:val="TableBullet"/>
            </w:pPr>
            <w:r w:rsidRPr="00FF1779">
              <w:t xml:space="preserve">England, 1707–1837 </w:t>
            </w:r>
          </w:p>
          <w:p w:rsidR="00207B93" w:rsidRPr="00FF1779" w:rsidRDefault="00207B93" w:rsidP="00207B93">
            <w:pPr>
              <w:pStyle w:val="TableBullet"/>
            </w:pPr>
            <w:r w:rsidRPr="00FF1779">
              <w:t xml:space="preserve">France, 1799–1815 </w:t>
            </w:r>
          </w:p>
          <w:p w:rsidR="00207B93" w:rsidRPr="00FF1779" w:rsidRDefault="00207B93" w:rsidP="00207B93">
            <w:pPr>
              <w:pStyle w:val="TableBullet"/>
            </w:pPr>
            <w:r w:rsidRPr="00FF1779">
              <w:t xml:space="preserve">New Zealand, 1841–1934 </w:t>
            </w:r>
          </w:p>
          <w:p w:rsidR="00207B93" w:rsidRPr="00FF1779" w:rsidRDefault="00207B93" w:rsidP="00207B93">
            <w:pPr>
              <w:pStyle w:val="TableBullet"/>
            </w:pPr>
            <w:r w:rsidRPr="00FF1779">
              <w:t xml:space="preserve">Germany,1914–1945 </w:t>
            </w:r>
          </w:p>
          <w:p w:rsidR="00207B93" w:rsidRPr="00FF1779" w:rsidRDefault="00207B93" w:rsidP="00207B93">
            <w:pPr>
              <w:pStyle w:val="TableBullet"/>
            </w:pPr>
            <w:r w:rsidRPr="00FF1779">
              <w:t xml:space="preserve">United States of America, 1917–1945 </w:t>
            </w:r>
          </w:p>
          <w:p w:rsidR="00207B93" w:rsidRPr="00FF1779" w:rsidRDefault="00207B93" w:rsidP="00207B93">
            <w:pPr>
              <w:pStyle w:val="TableBullet"/>
            </w:pPr>
            <w:r w:rsidRPr="00FF1779">
              <w:t xml:space="preserve">Soviet Union, 1920s–1945 </w:t>
            </w:r>
          </w:p>
          <w:p w:rsidR="00207B93" w:rsidRDefault="00CC65E7" w:rsidP="00CC65E7">
            <w:pPr>
              <w:pStyle w:val="TableBullet"/>
            </w:pPr>
            <w:r>
              <w:t xml:space="preserve">Japan, 1931–1967 </w:t>
            </w:r>
          </w:p>
          <w:p w:rsidR="007E34EA" w:rsidRPr="00FF1779" w:rsidRDefault="007E34EA" w:rsidP="007E34EA">
            <w:pPr>
              <w:pStyle w:val="TableBullet"/>
            </w:pPr>
            <w:r w:rsidRPr="00FF1779">
              <w:t xml:space="preserve">China, 1931–1976 </w:t>
            </w:r>
          </w:p>
          <w:p w:rsidR="007E34EA" w:rsidRPr="00FF1779" w:rsidRDefault="007E34EA" w:rsidP="007E34EA">
            <w:pPr>
              <w:pStyle w:val="TableBullet"/>
            </w:pPr>
            <w:r>
              <w:t xml:space="preserve">Indonesia, 1942–1975 </w:t>
            </w:r>
          </w:p>
          <w:p w:rsidR="007E34EA" w:rsidRPr="00FF1779" w:rsidRDefault="007E34EA" w:rsidP="007E34EA">
            <w:pPr>
              <w:pStyle w:val="TableBullet"/>
            </w:pPr>
            <w:r w:rsidRPr="00FF1779">
              <w:t xml:space="preserve">India, 1947–1974 </w:t>
            </w:r>
          </w:p>
          <w:p w:rsidR="007E34EA" w:rsidRDefault="007E34EA" w:rsidP="007E34EA">
            <w:pPr>
              <w:pStyle w:val="TableBullet"/>
            </w:pPr>
            <w:r w:rsidRPr="00FF1779">
              <w:t xml:space="preserve">Israel, 1948–1993 </w:t>
            </w:r>
          </w:p>
        </w:tc>
        <w:tc>
          <w:tcPr>
            <w:tcW w:w="2436" w:type="dxa"/>
            <w:shd w:val="clear" w:color="auto" w:fill="auto"/>
          </w:tcPr>
          <w:p w:rsidR="00207B93" w:rsidRPr="00207B93" w:rsidRDefault="00207B93" w:rsidP="00207B93">
            <w:pPr>
              <w:pStyle w:val="Tabletext"/>
              <w:rPr>
                <w:b/>
              </w:rPr>
            </w:pPr>
            <w:r w:rsidRPr="00207B93">
              <w:rPr>
                <w:b/>
              </w:rPr>
              <w:t xml:space="preserve">International experiences in the modern world </w:t>
            </w:r>
          </w:p>
          <w:p w:rsidR="00207B93" w:rsidRPr="00FF1779" w:rsidRDefault="00207B93" w:rsidP="00207B93">
            <w:pPr>
              <w:pStyle w:val="TableBullet"/>
            </w:pPr>
            <w:r w:rsidRPr="00FF1779">
              <w:t>Australian engagement with </w:t>
            </w:r>
            <w:r w:rsidRPr="002E14D3">
              <w:t>Asia</w:t>
            </w:r>
            <w:r w:rsidRPr="00FF1779">
              <w:t xml:space="preserve"> since 1945 </w:t>
            </w:r>
          </w:p>
          <w:p w:rsidR="00207B93" w:rsidRPr="002E14D3" w:rsidRDefault="00207B93" w:rsidP="00207B93">
            <w:pPr>
              <w:pStyle w:val="TableBullet"/>
            </w:pPr>
            <w:r w:rsidRPr="002E14D3">
              <w:t>Search for </w:t>
            </w:r>
            <w:r w:rsidRPr="00FF1779">
              <w:t>collective peace and security</w:t>
            </w:r>
            <w:r w:rsidRPr="002E14D3">
              <w:t xml:space="preserve"> since 1815 </w:t>
            </w:r>
          </w:p>
          <w:p w:rsidR="00207B93" w:rsidRPr="002E14D3" w:rsidRDefault="00207B93" w:rsidP="00207B93">
            <w:pPr>
              <w:pStyle w:val="TableBullet"/>
            </w:pPr>
            <w:r w:rsidRPr="002E14D3">
              <w:t>Trade and commerce between nations s</w:t>
            </w:r>
            <w:r>
              <w:t>ince 1833</w:t>
            </w:r>
          </w:p>
          <w:p w:rsidR="00207B93" w:rsidRPr="00FF1779" w:rsidRDefault="00207B93" w:rsidP="00207B93">
            <w:pPr>
              <w:pStyle w:val="TableBullet"/>
            </w:pPr>
            <w:r w:rsidRPr="002E14D3">
              <w:t>Mass migrations</w:t>
            </w:r>
            <w:r w:rsidRPr="00FF1779">
              <w:t xml:space="preserve"> since 1848 </w:t>
            </w:r>
          </w:p>
          <w:p w:rsidR="00207B93" w:rsidRPr="002E14D3" w:rsidRDefault="00207B93" w:rsidP="00207B93">
            <w:pPr>
              <w:pStyle w:val="TableBullet"/>
            </w:pPr>
            <w:r w:rsidRPr="00FF1779">
              <w:t>Information Age</w:t>
            </w:r>
            <w:r w:rsidRPr="002E14D3">
              <w:t xml:space="preserve"> since 1936 </w:t>
            </w:r>
          </w:p>
          <w:p w:rsidR="00207B93" w:rsidRDefault="00207B93" w:rsidP="00CC65E7">
            <w:pPr>
              <w:pStyle w:val="TableBullet"/>
            </w:pPr>
            <w:r w:rsidRPr="002E14D3">
              <w:t>Genocides</w:t>
            </w:r>
            <w:r w:rsidR="00CC65E7">
              <w:t xml:space="preserve"> </w:t>
            </w:r>
            <w:r w:rsidRPr="00FF1779">
              <w:t>and </w:t>
            </w:r>
            <w:r w:rsidR="00CC65E7">
              <w:t xml:space="preserve">ethnic </w:t>
            </w:r>
            <w:r w:rsidRPr="002E14D3">
              <w:t>cleansings</w:t>
            </w:r>
            <w:r w:rsidR="00CC65E7">
              <w:t xml:space="preserve"> since 1941 </w:t>
            </w:r>
          </w:p>
          <w:p w:rsidR="007E34EA" w:rsidRPr="00FF1779" w:rsidRDefault="007E34EA" w:rsidP="007E34EA">
            <w:pPr>
              <w:pStyle w:val="TableBullet"/>
            </w:pPr>
            <w:r w:rsidRPr="002E14D3">
              <w:t>Nuclear Age</w:t>
            </w:r>
            <w:r w:rsidRPr="00FF1779">
              <w:t xml:space="preserve"> since 1945 </w:t>
            </w:r>
          </w:p>
          <w:p w:rsidR="007E34EA" w:rsidRDefault="007E34EA" w:rsidP="007E34EA">
            <w:pPr>
              <w:pStyle w:val="TableBullet"/>
            </w:pPr>
            <w:r w:rsidRPr="002E14D3">
              <w:t>Cold War</w:t>
            </w:r>
            <w:r w:rsidRPr="00FF1779">
              <w:t xml:space="preserve">, 1945–1991 </w:t>
            </w:r>
          </w:p>
        </w:tc>
      </w:tr>
      <w:tr w:rsidR="00CC65E7" w:rsidTr="00207B93">
        <w:tc>
          <w:tcPr>
            <w:tcW w:w="2133" w:type="dxa"/>
          </w:tcPr>
          <w:p w:rsidR="00CC65E7" w:rsidRPr="00700191" w:rsidRDefault="00CC65E7" w:rsidP="00CC65E7">
            <w:pPr>
              <w:pStyle w:val="TableBullet"/>
            </w:pPr>
            <w:r w:rsidRPr="002E14D3">
              <w:t xml:space="preserve">Boxer Rebellion, </w:t>
            </w:r>
            <w:r>
              <w:br/>
            </w:r>
            <w:r w:rsidRPr="002E14D3">
              <w:t xml:space="preserve">1900–1901 </w:t>
            </w:r>
          </w:p>
          <w:p w:rsidR="00CC65E7" w:rsidRPr="00700191" w:rsidRDefault="00CC65E7" w:rsidP="00CC65E7">
            <w:pPr>
              <w:pStyle w:val="TableBullet"/>
            </w:pPr>
            <w:r w:rsidRPr="002E14D3">
              <w:t xml:space="preserve">Russian Revolution, </w:t>
            </w:r>
            <w:r>
              <w:br/>
            </w:r>
            <w:r w:rsidRPr="002E14D3">
              <w:t xml:space="preserve">1905–1920s </w:t>
            </w:r>
          </w:p>
          <w:p w:rsidR="00CC65E7" w:rsidRPr="00700191" w:rsidRDefault="00CC65E7" w:rsidP="00CC65E7">
            <w:pPr>
              <w:pStyle w:val="TableBullet"/>
            </w:pPr>
            <w:r w:rsidRPr="002E14D3">
              <w:t xml:space="preserve">Xinhai Revolution, </w:t>
            </w:r>
            <w:r>
              <w:br/>
            </w:r>
            <w:r w:rsidRPr="002E14D3">
              <w:t xml:space="preserve">1911–1912 </w:t>
            </w:r>
          </w:p>
          <w:p w:rsidR="00CC65E7" w:rsidRPr="00700191" w:rsidRDefault="00CC65E7" w:rsidP="00CC65E7">
            <w:pPr>
              <w:pStyle w:val="TableBullet"/>
            </w:pPr>
            <w:r w:rsidRPr="002E14D3">
              <w:t xml:space="preserve">Iranian Revolution, </w:t>
            </w:r>
            <w:r>
              <w:br/>
            </w:r>
            <w:r w:rsidRPr="002E14D3">
              <w:t xml:space="preserve">1977–1979 </w:t>
            </w:r>
          </w:p>
          <w:p w:rsidR="00CC65E7" w:rsidRPr="00700191" w:rsidRDefault="00CC65E7" w:rsidP="00CC65E7">
            <w:pPr>
              <w:pStyle w:val="TableBullet"/>
            </w:pPr>
            <w:r w:rsidRPr="002E14D3">
              <w:t xml:space="preserve">Arab Spring since 2010 </w:t>
            </w:r>
          </w:p>
          <w:p w:rsidR="00CC65E7" w:rsidRPr="00207B93" w:rsidRDefault="00CC65E7" w:rsidP="00CC65E7">
            <w:pPr>
              <w:pStyle w:val="TableBullet"/>
              <w:rPr>
                <w:b/>
              </w:rPr>
            </w:pPr>
            <w:r w:rsidRPr="002E14D3">
              <w:t>Alternative topic for Unit 1</w:t>
            </w:r>
          </w:p>
        </w:tc>
        <w:tc>
          <w:tcPr>
            <w:tcW w:w="2163" w:type="dxa"/>
          </w:tcPr>
          <w:p w:rsidR="00CC65E7" w:rsidRPr="00FF1779" w:rsidRDefault="00CC65E7" w:rsidP="00CC65E7">
            <w:pPr>
              <w:pStyle w:val="TableBullet"/>
            </w:pPr>
            <w:r w:rsidRPr="00FF1779">
              <w:t xml:space="preserve">Independence </w:t>
            </w:r>
            <w:r>
              <w:t>movement in Vietnam, 1945–1975</w:t>
            </w:r>
          </w:p>
          <w:p w:rsidR="00CC65E7" w:rsidRPr="00FF1779" w:rsidRDefault="00CC65E7" w:rsidP="00CC65E7">
            <w:pPr>
              <w:pStyle w:val="TableBullet"/>
            </w:pPr>
            <w:r w:rsidRPr="00FF1779">
              <w:t xml:space="preserve">Anti-apartheid movement in South Africa, 1948–1991 </w:t>
            </w:r>
          </w:p>
          <w:p w:rsidR="00CC65E7" w:rsidRPr="00FF1779" w:rsidRDefault="00CC65E7" w:rsidP="00CC65E7">
            <w:pPr>
              <w:pStyle w:val="TableBullet"/>
            </w:pPr>
            <w:r w:rsidRPr="00FF1779">
              <w:t>African-American </w:t>
            </w:r>
            <w:r w:rsidRPr="002E14D3">
              <w:t>civil rights</w:t>
            </w:r>
            <w:r w:rsidRPr="00FF1779">
              <w:t xml:space="preserve"> movement, 1954–1968 </w:t>
            </w:r>
          </w:p>
          <w:p w:rsidR="00CC65E7" w:rsidRPr="00FF1779" w:rsidRDefault="00CC65E7" w:rsidP="00CC65E7">
            <w:pPr>
              <w:pStyle w:val="TableBullet"/>
            </w:pPr>
            <w:r w:rsidRPr="00FF1779">
              <w:t xml:space="preserve">Environmental movement since the 1960s </w:t>
            </w:r>
          </w:p>
          <w:p w:rsidR="00CC65E7" w:rsidRPr="00FF1779" w:rsidRDefault="00CC65E7" w:rsidP="00CC65E7">
            <w:pPr>
              <w:pStyle w:val="TableBullet"/>
            </w:pPr>
            <w:r w:rsidRPr="002E14D3">
              <w:t>LGBTIQ</w:t>
            </w:r>
            <w:r>
              <w:t xml:space="preserve"> </w:t>
            </w:r>
            <w:r w:rsidRPr="002E14D3">
              <w:t>civil rights</w:t>
            </w:r>
            <w:r w:rsidRPr="00FF1779">
              <w:t xml:space="preserve"> movement since 1969 </w:t>
            </w:r>
          </w:p>
          <w:p w:rsidR="00CC65E7" w:rsidRPr="00FF1779" w:rsidRDefault="00CC65E7" w:rsidP="00CC65E7">
            <w:pPr>
              <w:pStyle w:val="TableBullet"/>
            </w:pPr>
            <w:r w:rsidRPr="00FF1779">
              <w:t>Pro-democracy movement</w:t>
            </w:r>
            <w:r>
              <w:t xml:space="preserve"> in Myanmar (Burma) since 1988</w:t>
            </w:r>
          </w:p>
          <w:p w:rsidR="00CC65E7" w:rsidRPr="00207B93" w:rsidRDefault="00CC65E7" w:rsidP="00CC65E7">
            <w:pPr>
              <w:pStyle w:val="TableBullet"/>
              <w:rPr>
                <w:b/>
              </w:rPr>
            </w:pPr>
            <w:r w:rsidRPr="00FF1779">
              <w:t>Alternative topic for Unit 2</w:t>
            </w:r>
          </w:p>
        </w:tc>
        <w:tc>
          <w:tcPr>
            <w:tcW w:w="2148" w:type="dxa"/>
            <w:shd w:val="clear" w:color="auto" w:fill="auto"/>
          </w:tcPr>
          <w:p w:rsidR="00CC65E7" w:rsidRPr="00207B93" w:rsidRDefault="007E34EA" w:rsidP="007E34EA">
            <w:pPr>
              <w:pStyle w:val="TableBullet"/>
              <w:rPr>
                <w:b/>
              </w:rPr>
            </w:pPr>
            <w:r w:rsidRPr="00FF1779">
              <w:t>South Korea, 1948–1972</w:t>
            </w:r>
          </w:p>
        </w:tc>
        <w:tc>
          <w:tcPr>
            <w:tcW w:w="2436" w:type="dxa"/>
            <w:shd w:val="clear" w:color="auto" w:fill="auto"/>
          </w:tcPr>
          <w:p w:rsidR="00CC65E7" w:rsidRPr="00FF1779" w:rsidRDefault="00CC65E7" w:rsidP="00CC65E7">
            <w:pPr>
              <w:pStyle w:val="TableBullet"/>
            </w:pPr>
            <w:r w:rsidRPr="00FF1779">
              <w:t>Struggle for peace in the </w:t>
            </w:r>
            <w:r w:rsidRPr="002E14D3">
              <w:t>Middle East</w:t>
            </w:r>
            <w:r w:rsidRPr="00FF1779">
              <w:t xml:space="preserve"> since 1948 </w:t>
            </w:r>
          </w:p>
          <w:p w:rsidR="00CC65E7" w:rsidRPr="00FF1779" w:rsidRDefault="00CC65E7" w:rsidP="00CC65E7">
            <w:pPr>
              <w:pStyle w:val="TableBullet"/>
            </w:pPr>
            <w:r w:rsidRPr="002E14D3">
              <w:t>Cultural globalisation</w:t>
            </w:r>
            <w:r w:rsidRPr="00FF1779">
              <w:t xml:space="preserve"> since 1956 </w:t>
            </w:r>
          </w:p>
          <w:p w:rsidR="00CC65E7" w:rsidRPr="00FF1779" w:rsidRDefault="00CC65E7" w:rsidP="00CC65E7">
            <w:pPr>
              <w:pStyle w:val="TableBullet"/>
            </w:pPr>
            <w:r w:rsidRPr="002E14D3">
              <w:t>Space exploration</w:t>
            </w:r>
            <w:r w:rsidRPr="00FF1779">
              <w:t xml:space="preserve"> since 1957 </w:t>
            </w:r>
          </w:p>
          <w:p w:rsidR="00CC65E7" w:rsidRPr="002E14D3" w:rsidRDefault="00CC65E7" w:rsidP="00CC65E7">
            <w:pPr>
              <w:pStyle w:val="TableBullet"/>
            </w:pPr>
            <w:r w:rsidRPr="002E14D3">
              <w:t>Rights and recognition of </w:t>
            </w:r>
            <w:r w:rsidRPr="00FF1779">
              <w:t>First Peoples</w:t>
            </w:r>
            <w:r w:rsidRPr="002E14D3">
              <w:t xml:space="preserve"> since 1982 </w:t>
            </w:r>
          </w:p>
          <w:p w:rsidR="00CC65E7" w:rsidRPr="00207B93" w:rsidRDefault="00CC65E7" w:rsidP="00CC65E7">
            <w:pPr>
              <w:pStyle w:val="TableBullet"/>
              <w:rPr>
                <w:b/>
              </w:rPr>
            </w:pPr>
            <w:r w:rsidRPr="00FF1779">
              <w:t>Terrorism</w:t>
            </w:r>
            <w:r w:rsidRPr="002E14D3">
              <w:t>,</w:t>
            </w:r>
            <w:r>
              <w:t xml:space="preserve"> </w:t>
            </w:r>
            <w:r w:rsidRPr="00FF1779">
              <w:t>anti-terrorism</w:t>
            </w:r>
            <w:r>
              <w:t xml:space="preserve"> </w:t>
            </w:r>
            <w:r w:rsidRPr="002E14D3">
              <w:t>and</w:t>
            </w:r>
            <w:r>
              <w:t xml:space="preserve"> </w:t>
            </w:r>
            <w:r w:rsidRPr="00FF1779">
              <w:t>counter-terrorism</w:t>
            </w:r>
            <w:r>
              <w:t xml:space="preserve"> </w:t>
            </w:r>
            <w:r w:rsidRPr="002E14D3">
              <w:t>since</w:t>
            </w:r>
            <w:r>
              <w:t> </w:t>
            </w:r>
            <w:r w:rsidRPr="002E14D3">
              <w:t>1984</w:t>
            </w:r>
          </w:p>
        </w:tc>
      </w:tr>
    </w:tbl>
    <w:p w:rsidR="00207B93" w:rsidRDefault="00207B93" w:rsidP="00207B93">
      <w:pPr>
        <w:pStyle w:val="Heading3"/>
      </w:pPr>
      <w:bookmarkStart w:id="179" w:name="_Toc16163556"/>
      <w:r>
        <w:t>Assessment</w:t>
      </w:r>
      <w:bookmarkEnd w:id="179"/>
    </w:p>
    <w:p w:rsidR="00316849" w:rsidRDefault="00316849" w:rsidP="00316849">
      <w:pPr>
        <w:pStyle w:val="BodyText"/>
      </w:pPr>
      <w:r>
        <w:t>S</w:t>
      </w:r>
      <w:r w:rsidRPr="008C3C06">
        <w:t>chools devise assessment</w:t>
      </w:r>
      <w:r>
        <w:t>s</w:t>
      </w:r>
      <w:r w:rsidRPr="008C3C06">
        <w:t xml:space="preserve"> </w:t>
      </w:r>
      <w:r>
        <w:t>i</w:t>
      </w:r>
      <w:r w:rsidRPr="008C3C06">
        <w:t>n Units 1 and 2 to suit their local context.</w:t>
      </w:r>
      <w:r>
        <w:t xml:space="preserve"> </w:t>
      </w:r>
    </w:p>
    <w:p w:rsidR="00316849" w:rsidRDefault="00316849" w:rsidP="00316849">
      <w:pPr>
        <w:pStyle w:val="BodyText"/>
      </w:pPr>
      <w:r>
        <w:t>I</w:t>
      </w:r>
      <w:r w:rsidRPr="008C3C06">
        <w:t xml:space="preserve">n Units 3 and 4 </w:t>
      </w:r>
      <w:r>
        <w:t>s</w:t>
      </w:r>
      <w:r w:rsidRPr="008C3C06">
        <w:t>tudents complete four summative assessments</w:t>
      </w:r>
      <w:r>
        <w:t>. The results from each of the assessments are added together to provi</w:t>
      </w:r>
      <w:r w:rsidR="001A6424">
        <w:t xml:space="preserve">de a subject score out of 100. </w:t>
      </w:r>
      <w:r>
        <w:t>Students will also receive an overall subject result (</w:t>
      </w:r>
      <w:r w:rsidR="003A1232">
        <w:t>A–E</w:t>
      </w:r>
      <w:r>
        <w:t>).</w:t>
      </w:r>
    </w:p>
    <w:p w:rsidR="000D2D7A" w:rsidRDefault="000D2D7A" w:rsidP="00D72BFA">
      <w:pPr>
        <w:pStyle w:val="Caption"/>
        <w:rPr>
          <w:noProof/>
        </w:rPr>
      </w:pPr>
      <w:r>
        <w:t>Summative assessments</w:t>
      </w:r>
    </w:p>
    <w:tbl>
      <w:tblPr>
        <w:tblStyle w:val="QCAAtablestyle1"/>
        <w:tblW w:w="4900" w:type="pct"/>
        <w:tblLayout w:type="fixed"/>
        <w:tblLook w:val="04A0" w:firstRow="1" w:lastRow="0" w:firstColumn="1" w:lastColumn="0" w:noHBand="0" w:noVBand="1"/>
      </w:tblPr>
      <w:tblGrid>
        <w:gridCol w:w="3596"/>
        <w:gridCol w:w="714"/>
        <w:gridCol w:w="3856"/>
        <w:gridCol w:w="714"/>
      </w:tblGrid>
      <w:tr w:rsidR="00A01533" w:rsidTr="003D2736">
        <w:trPr>
          <w:cnfStyle w:val="100000000000" w:firstRow="1" w:lastRow="0" w:firstColumn="0" w:lastColumn="0" w:oddVBand="0" w:evenVBand="0" w:oddHBand="0" w:evenHBand="0" w:firstRowFirstColumn="0" w:firstRowLastColumn="0" w:lastRowFirstColumn="0" w:lastRowLastColumn="0"/>
        </w:trPr>
        <w:tc>
          <w:tcPr>
            <w:tcW w:w="4277" w:type="dxa"/>
            <w:gridSpan w:val="2"/>
          </w:tcPr>
          <w:p w:rsidR="00A01533" w:rsidRDefault="00A01533" w:rsidP="00207B93">
            <w:pPr>
              <w:pStyle w:val="Tableheading"/>
            </w:pPr>
            <w:r>
              <w:t>Unit 3</w:t>
            </w:r>
          </w:p>
        </w:tc>
        <w:tc>
          <w:tcPr>
            <w:tcW w:w="4536" w:type="dxa"/>
            <w:gridSpan w:val="2"/>
          </w:tcPr>
          <w:p w:rsidR="00A01533" w:rsidRDefault="00A01533" w:rsidP="00207B93">
            <w:pPr>
              <w:pStyle w:val="Tableheading"/>
            </w:pPr>
            <w:r>
              <w:t>Unit 4</w:t>
            </w:r>
          </w:p>
        </w:tc>
      </w:tr>
      <w:tr w:rsidR="00A01533" w:rsidTr="003D2736">
        <w:tc>
          <w:tcPr>
            <w:tcW w:w="3568" w:type="dxa"/>
          </w:tcPr>
          <w:p w:rsidR="00A01533" w:rsidRDefault="00A01533" w:rsidP="00207B93">
            <w:pPr>
              <w:pStyle w:val="Tabletext"/>
            </w:pPr>
            <w:r>
              <w:t xml:space="preserve">Summative internal assessment 1 (IA1): </w:t>
            </w:r>
          </w:p>
          <w:p w:rsidR="00A01533" w:rsidRDefault="00A01533" w:rsidP="008C3C06">
            <w:pPr>
              <w:pStyle w:val="TableBullet"/>
            </w:pPr>
            <w:r>
              <w:t xml:space="preserve">Examination </w:t>
            </w:r>
            <w:r w:rsidR="009B1B64">
              <w:t xml:space="preserve">— </w:t>
            </w:r>
            <w:r>
              <w:t>essay in response to historical sources</w:t>
            </w:r>
          </w:p>
        </w:tc>
        <w:tc>
          <w:tcPr>
            <w:tcW w:w="709" w:type="dxa"/>
          </w:tcPr>
          <w:p w:rsidR="00A01533" w:rsidRDefault="00A01533" w:rsidP="00207B93">
            <w:pPr>
              <w:pStyle w:val="Tabletext"/>
            </w:pPr>
            <w:r>
              <w:t>25%</w:t>
            </w:r>
          </w:p>
        </w:tc>
        <w:tc>
          <w:tcPr>
            <w:tcW w:w="3827" w:type="dxa"/>
          </w:tcPr>
          <w:p w:rsidR="00A01533" w:rsidRDefault="00A01533" w:rsidP="00207B93">
            <w:pPr>
              <w:pStyle w:val="Tabletext"/>
            </w:pPr>
            <w:r>
              <w:t xml:space="preserve">Summative internal assessment 3 (IA3): </w:t>
            </w:r>
          </w:p>
          <w:p w:rsidR="00A01533" w:rsidRDefault="00A01533" w:rsidP="008C3C06">
            <w:pPr>
              <w:pStyle w:val="TableBullet"/>
            </w:pPr>
            <w:r>
              <w:t xml:space="preserve">Investigation </w:t>
            </w:r>
            <w:r w:rsidR="009B1B64">
              <w:t xml:space="preserve">— </w:t>
            </w:r>
            <w:r>
              <w:t>historical essay based on research</w:t>
            </w:r>
          </w:p>
        </w:tc>
        <w:tc>
          <w:tcPr>
            <w:tcW w:w="709" w:type="dxa"/>
          </w:tcPr>
          <w:p w:rsidR="00A01533" w:rsidRDefault="00A01533" w:rsidP="00207B93">
            <w:pPr>
              <w:pStyle w:val="Tabletext"/>
            </w:pPr>
            <w:r>
              <w:t>25%</w:t>
            </w:r>
          </w:p>
        </w:tc>
      </w:tr>
      <w:tr w:rsidR="00A01533" w:rsidTr="003D2736">
        <w:tc>
          <w:tcPr>
            <w:tcW w:w="3568" w:type="dxa"/>
          </w:tcPr>
          <w:p w:rsidR="00A01533" w:rsidRDefault="00A01533" w:rsidP="00207B93">
            <w:pPr>
              <w:pStyle w:val="Tabletext"/>
            </w:pPr>
            <w:r>
              <w:t>Summativ</w:t>
            </w:r>
            <w:r w:rsidR="001A6424">
              <w:t xml:space="preserve">e internal assessment 2 (IA2): </w:t>
            </w:r>
          </w:p>
          <w:p w:rsidR="00A01533" w:rsidRDefault="00A01533" w:rsidP="008C3C06">
            <w:pPr>
              <w:pStyle w:val="TableBullet"/>
            </w:pPr>
            <w:r>
              <w:t>Independent source investigation</w:t>
            </w:r>
          </w:p>
        </w:tc>
        <w:tc>
          <w:tcPr>
            <w:tcW w:w="709" w:type="dxa"/>
          </w:tcPr>
          <w:p w:rsidR="00A01533" w:rsidRDefault="00A01533" w:rsidP="00207B93">
            <w:pPr>
              <w:pStyle w:val="Tabletext"/>
            </w:pPr>
            <w:r>
              <w:t>25%</w:t>
            </w:r>
          </w:p>
        </w:tc>
        <w:tc>
          <w:tcPr>
            <w:tcW w:w="3827" w:type="dxa"/>
          </w:tcPr>
          <w:p w:rsidR="00A01533" w:rsidRDefault="00A01533" w:rsidP="00207B93">
            <w:pPr>
              <w:pStyle w:val="Tabletext"/>
            </w:pPr>
            <w:r>
              <w:t xml:space="preserve">Summative external assessment (EA): </w:t>
            </w:r>
          </w:p>
          <w:p w:rsidR="00A01533" w:rsidRDefault="00A01533" w:rsidP="008C3C06">
            <w:pPr>
              <w:pStyle w:val="TableBullet"/>
            </w:pPr>
            <w:r>
              <w:t xml:space="preserve">Examination </w:t>
            </w:r>
            <w:r w:rsidR="009B1B64">
              <w:t xml:space="preserve">— </w:t>
            </w:r>
            <w:r>
              <w:t>short responses to historical sources</w:t>
            </w:r>
          </w:p>
        </w:tc>
        <w:tc>
          <w:tcPr>
            <w:tcW w:w="709" w:type="dxa"/>
          </w:tcPr>
          <w:p w:rsidR="00A01533" w:rsidRDefault="00A01533" w:rsidP="00207B93">
            <w:pPr>
              <w:pStyle w:val="Tabletext"/>
            </w:pPr>
            <w:r>
              <w:t>25%</w:t>
            </w:r>
          </w:p>
        </w:tc>
      </w:tr>
    </w:tbl>
    <w:p w:rsidR="00207B93" w:rsidRDefault="00207B93" w:rsidP="00207B93"/>
    <w:p w:rsidR="00207B93" w:rsidRDefault="00207B93">
      <w:r>
        <w:br w:type="page"/>
      </w:r>
    </w:p>
    <w:p w:rsidR="00F53606" w:rsidRDefault="00F53606"/>
    <w:tbl>
      <w:tblPr>
        <w:tblStyle w:val="TextLayout"/>
        <w:tblW w:w="5650" w:type="pct"/>
        <w:tblInd w:w="-170" w:type="dxa"/>
        <w:tblLayout w:type="fixed"/>
        <w:tblLook w:val="04A0" w:firstRow="1" w:lastRow="0" w:firstColumn="1" w:lastColumn="0" w:noHBand="0" w:noVBand="1"/>
      </w:tblPr>
      <w:tblGrid>
        <w:gridCol w:w="141"/>
        <w:gridCol w:w="9264"/>
        <w:gridCol w:w="845"/>
      </w:tblGrid>
      <w:tr w:rsidR="009A4E12" w:rsidRPr="003B6F39" w:rsidTr="002037BC">
        <w:trPr>
          <w:trHeight w:hRule="exact" w:val="851"/>
        </w:trPr>
        <w:tc>
          <w:tcPr>
            <w:tcW w:w="142" w:type="dxa"/>
            <w:shd w:val="clear" w:color="auto" w:fill="E1231A"/>
          </w:tcPr>
          <w:p w:rsidR="009A4E12" w:rsidRDefault="009A4E12" w:rsidP="002037BC">
            <w:pPr>
              <w:pStyle w:val="Tabletext"/>
            </w:pPr>
          </w:p>
        </w:tc>
        <w:tc>
          <w:tcPr>
            <w:tcW w:w="9323" w:type="dxa"/>
            <w:tcMar>
              <w:left w:w="57" w:type="dxa"/>
            </w:tcMar>
            <w:vAlign w:val="center"/>
          </w:tcPr>
          <w:p w:rsidR="009A4E12" w:rsidRDefault="009A4E12" w:rsidP="00CD2D5C">
            <w:pPr>
              <w:pStyle w:val="SubjectHeading"/>
            </w:pPr>
            <w:r>
              <w:t>Tourism</w:t>
            </w:r>
          </w:p>
          <w:p w:rsidR="009A4E12" w:rsidRPr="00E86C01" w:rsidRDefault="009A4E12" w:rsidP="002037BC">
            <w:pPr>
              <w:pStyle w:val="Heading3"/>
              <w:spacing w:before="0" w:after="0"/>
            </w:pPr>
            <w:bookmarkStart w:id="180" w:name="_Toc16163557"/>
            <w:r>
              <w:t>Applied senior subject</w:t>
            </w:r>
            <w:bookmarkEnd w:id="180"/>
          </w:p>
        </w:tc>
        <w:tc>
          <w:tcPr>
            <w:tcW w:w="850" w:type="dxa"/>
            <w:shd w:val="clear" w:color="auto" w:fill="E1231A"/>
            <w:tcMar>
              <w:bottom w:w="28" w:type="dxa"/>
              <w:right w:w="57" w:type="dxa"/>
            </w:tcMar>
            <w:vAlign w:val="bottom"/>
          </w:tcPr>
          <w:p w:rsidR="009A4E12" w:rsidRPr="00BE0C34" w:rsidRDefault="009A4E12" w:rsidP="002037BC">
            <w:pPr>
              <w:pStyle w:val="Heading3"/>
              <w:spacing w:before="0" w:after="100" w:afterAutospacing="1"/>
              <w:jc w:val="right"/>
              <w:rPr>
                <w:color w:val="FFFFFF" w:themeColor="background1"/>
                <w:sz w:val="17"/>
                <w:szCs w:val="17"/>
              </w:rPr>
            </w:pPr>
            <w:bookmarkStart w:id="181" w:name="_Toc16163558"/>
            <w:r>
              <w:rPr>
                <w:color w:val="FFFFFF" w:themeColor="background1"/>
                <w:sz w:val="17"/>
                <w:szCs w:val="17"/>
              </w:rPr>
              <w:t>Applied</w:t>
            </w:r>
            <w:bookmarkEnd w:id="181"/>
          </w:p>
        </w:tc>
      </w:tr>
      <w:tr w:rsidR="009A4E12" w:rsidRPr="003B6F39" w:rsidTr="002037BC">
        <w:trPr>
          <w:trHeight w:hRule="exact" w:val="113"/>
        </w:trPr>
        <w:tc>
          <w:tcPr>
            <w:tcW w:w="10315" w:type="dxa"/>
            <w:gridSpan w:val="3"/>
            <w:shd w:val="clear" w:color="auto" w:fill="auto"/>
          </w:tcPr>
          <w:p w:rsidR="009A4E12" w:rsidRPr="00E86C01" w:rsidRDefault="009A4E12" w:rsidP="002037BC">
            <w:pPr>
              <w:pStyle w:val="Smallspace"/>
            </w:pPr>
          </w:p>
        </w:tc>
      </w:tr>
    </w:tbl>
    <w:p w:rsidR="00352F6F" w:rsidRDefault="00352F6F" w:rsidP="00352F6F">
      <w:pPr>
        <w:pStyle w:val="BodyText"/>
        <w:sectPr w:rsidR="00352F6F" w:rsidSect="005F3A96">
          <w:headerReference w:type="default" r:id="rId30"/>
          <w:type w:val="continuous"/>
          <w:pgSz w:w="11907" w:h="16840" w:code="9"/>
          <w:pgMar w:top="1134" w:right="1418" w:bottom="1701" w:left="1418" w:header="567" w:footer="284" w:gutter="0"/>
          <w:cols w:space="720"/>
          <w:formProt w:val="0"/>
          <w:noEndnote/>
          <w:docGrid w:linePitch="299"/>
        </w:sectPr>
      </w:pPr>
    </w:p>
    <w:p w:rsidR="00352F6F" w:rsidRPr="00667922" w:rsidRDefault="00352F6F" w:rsidP="00352F6F">
      <w:pPr>
        <w:pStyle w:val="BodyText"/>
      </w:pPr>
      <w:r w:rsidRPr="00667922">
        <w:t xml:space="preserve">Tourism </w:t>
      </w:r>
      <w:r w:rsidR="009B6D1D">
        <w:t xml:space="preserve">studies </w:t>
      </w:r>
      <w:r w:rsidRPr="00667922">
        <w:t>enable students to gain an appreciation of the role of the tourism industry and the structure, scope and operation of the related tourism sectors of travel, hospitality and visitor services.</w:t>
      </w:r>
    </w:p>
    <w:p w:rsidR="009B6D1D" w:rsidRDefault="009B6D1D" w:rsidP="00352F6F">
      <w:pPr>
        <w:pStyle w:val="BodyText"/>
      </w:pPr>
      <w:r>
        <w:t>S</w:t>
      </w:r>
      <w:r w:rsidR="00352F6F" w:rsidRPr="00667922">
        <w:t>tudents examine the socio-cultural, environmental and economic aspects of tourism, as well as tourism opportunities, problems and issues across global, national and local contexts.</w:t>
      </w:r>
      <w:r w:rsidR="00352F6F">
        <w:t xml:space="preserve"> </w:t>
      </w:r>
    </w:p>
    <w:p w:rsidR="00352F6F" w:rsidRPr="00667922" w:rsidRDefault="00352F6F" w:rsidP="00352F6F">
      <w:pPr>
        <w:pStyle w:val="BodyText"/>
      </w:pPr>
      <w:r>
        <w:t xml:space="preserve">Students </w:t>
      </w:r>
      <w:r w:rsidRPr="00667922">
        <w:t>develop and apply tourism-related knowledge and understanding through learning experiences and assessment in which they plan projects, analyse issues and opportunities, and evaluate concepts and information.</w:t>
      </w:r>
    </w:p>
    <w:p w:rsidR="00352F6F" w:rsidRDefault="00352F6F" w:rsidP="00352F6F">
      <w:pPr>
        <w:pStyle w:val="Heading3"/>
      </w:pPr>
      <w:bookmarkStart w:id="182" w:name="_Toc16163559"/>
      <w:r>
        <w:t>Pathways</w:t>
      </w:r>
      <w:bookmarkEnd w:id="182"/>
    </w:p>
    <w:p w:rsidR="00352F6F" w:rsidRDefault="00352F6F" w:rsidP="00352F6F">
      <w:pPr>
        <w:pStyle w:val="BodyText"/>
        <w:rPr>
          <w:noProof/>
        </w:rPr>
      </w:pPr>
      <w:r w:rsidRPr="00667922">
        <w:t>A course of study in Tourism can establish a basis for further education and employment in businesses and industries such as tourist attractions, cruising, gaming, government and industry organisations, meeting and events coordination, caravan parks, marketing, museums and galleries, tour operations, wineries, cultural liaison, tourism and leisure industry development, and transport and travel.</w:t>
      </w:r>
    </w:p>
    <w:p w:rsidR="00352F6F" w:rsidRDefault="00352F6F" w:rsidP="006B1D17">
      <w:pPr>
        <w:pStyle w:val="Heading3"/>
        <w:spacing w:before="0"/>
      </w:pPr>
      <w:bookmarkStart w:id="183" w:name="_Toc16163560"/>
      <w:r>
        <w:t>Objectives</w:t>
      </w:r>
      <w:bookmarkEnd w:id="183"/>
    </w:p>
    <w:p w:rsidR="00352F6F" w:rsidRPr="00B76239" w:rsidRDefault="00352F6F" w:rsidP="00352F6F">
      <w:pPr>
        <w:pStyle w:val="BodyText"/>
      </w:pPr>
      <w:r w:rsidRPr="00B76239">
        <w:t>By the conclusion of the course of study, students should:</w:t>
      </w:r>
    </w:p>
    <w:p w:rsidR="00352F6F" w:rsidRPr="001204A9" w:rsidRDefault="00352F6F" w:rsidP="00352F6F">
      <w:pPr>
        <w:pStyle w:val="ListBullet0"/>
      </w:pPr>
      <w:r w:rsidRPr="001204A9">
        <w:t>recall terminology associated with tourism and the tourism industry</w:t>
      </w:r>
    </w:p>
    <w:p w:rsidR="00352F6F" w:rsidRPr="001204A9" w:rsidRDefault="00352F6F" w:rsidP="00352F6F">
      <w:pPr>
        <w:pStyle w:val="ListBullet0"/>
      </w:pPr>
      <w:r w:rsidRPr="001204A9">
        <w:t>describe and explain tourism concepts and information</w:t>
      </w:r>
    </w:p>
    <w:p w:rsidR="00352F6F" w:rsidRDefault="00352F6F" w:rsidP="00352F6F">
      <w:pPr>
        <w:pStyle w:val="ListBullet0"/>
      </w:pPr>
      <w:r w:rsidRPr="001204A9">
        <w:t xml:space="preserve">identify and explain </w:t>
      </w:r>
      <w:r>
        <w:t>tourism issues or opportunities</w:t>
      </w:r>
    </w:p>
    <w:p w:rsidR="00352F6F" w:rsidRPr="001204A9" w:rsidRDefault="00352F6F" w:rsidP="00352F6F">
      <w:pPr>
        <w:pStyle w:val="ListBullet0"/>
      </w:pPr>
      <w:r w:rsidRPr="001204A9">
        <w:t>analyse tourism issues and opportunities</w:t>
      </w:r>
    </w:p>
    <w:p w:rsidR="00352F6F" w:rsidRPr="001204A9" w:rsidRDefault="00352F6F" w:rsidP="00352F6F">
      <w:pPr>
        <w:pStyle w:val="ListBullet0"/>
      </w:pPr>
      <w:r w:rsidRPr="001204A9">
        <w:t>apply tourism concepts and information from a local, national and global perspective</w:t>
      </w:r>
    </w:p>
    <w:p w:rsidR="00352F6F" w:rsidRPr="001204A9" w:rsidRDefault="00352F6F" w:rsidP="00352F6F">
      <w:pPr>
        <w:pStyle w:val="ListBullet0"/>
      </w:pPr>
      <w:r w:rsidRPr="001204A9">
        <w:t>communicate meaning and information using language conventions and features relevant to tourism contexts</w:t>
      </w:r>
    </w:p>
    <w:p w:rsidR="00352F6F" w:rsidRPr="001204A9" w:rsidRDefault="00352F6F" w:rsidP="00352F6F">
      <w:pPr>
        <w:pStyle w:val="ListBullet0"/>
      </w:pPr>
      <w:r w:rsidRPr="001204A9">
        <w:t>generate plans based on consumer and industry needs</w:t>
      </w:r>
    </w:p>
    <w:p w:rsidR="00352F6F" w:rsidRPr="001204A9" w:rsidRDefault="00352F6F" w:rsidP="00352F6F">
      <w:pPr>
        <w:pStyle w:val="ListBullet0"/>
      </w:pPr>
      <w:r w:rsidRPr="001204A9">
        <w:t>evaluate concepts and information within tourism and the tourism industry</w:t>
      </w:r>
    </w:p>
    <w:p w:rsidR="00352F6F" w:rsidRPr="001204A9" w:rsidRDefault="00352F6F" w:rsidP="00352F6F">
      <w:pPr>
        <w:pStyle w:val="ListBullet0"/>
      </w:pPr>
      <w:r w:rsidRPr="001204A9">
        <w:t>draw conclusions and make recommendations</w:t>
      </w:r>
      <w:r>
        <w:t>.</w:t>
      </w:r>
    </w:p>
    <w:p w:rsidR="00352F6F" w:rsidRDefault="00352F6F" w:rsidP="00352F6F">
      <w:pPr>
        <w:pStyle w:val="BodyText"/>
        <w:rPr>
          <w:noProof/>
        </w:rPr>
        <w:sectPr w:rsidR="00352F6F" w:rsidSect="005F3A96">
          <w:type w:val="continuous"/>
          <w:pgSz w:w="11907" w:h="16840" w:code="9"/>
          <w:pgMar w:top="1134" w:right="1418" w:bottom="1701" w:left="1418" w:header="567" w:footer="284" w:gutter="0"/>
          <w:cols w:num="2" w:space="720"/>
          <w:formProt w:val="0"/>
          <w:noEndnote/>
          <w:docGrid w:linePitch="299"/>
        </w:sectPr>
      </w:pPr>
    </w:p>
    <w:p w:rsidR="00352F6F" w:rsidRDefault="00352F6F" w:rsidP="00352F6F">
      <w:pPr>
        <w:pStyle w:val="Heading3"/>
      </w:pPr>
      <w:bookmarkStart w:id="184" w:name="_Toc16163561"/>
      <w:r>
        <w:t>Structure</w:t>
      </w:r>
      <w:bookmarkEnd w:id="184"/>
    </w:p>
    <w:p w:rsidR="00352F6F" w:rsidRPr="00C21F3C" w:rsidRDefault="00352F6F" w:rsidP="00352F6F">
      <w:pPr>
        <w:pStyle w:val="BodyText"/>
        <w:rPr>
          <w:lang w:eastAsia="en-US"/>
        </w:rPr>
      </w:pPr>
      <w:r w:rsidRPr="00C21F3C">
        <w:rPr>
          <w:lang w:eastAsia="en-US"/>
        </w:rPr>
        <w:t xml:space="preserve">The </w:t>
      </w:r>
      <w:r>
        <w:rPr>
          <w:lang w:eastAsia="en-US"/>
        </w:rPr>
        <w:t>Tourism</w:t>
      </w:r>
      <w:r w:rsidRPr="00C21F3C">
        <w:rPr>
          <w:lang w:eastAsia="en-US"/>
        </w:rPr>
        <w:t xml:space="preserve"> </w:t>
      </w:r>
      <w:r>
        <w:rPr>
          <w:lang w:eastAsia="en-US"/>
        </w:rPr>
        <w:t>course is designed around interrelated core topics</w:t>
      </w:r>
      <w:r w:rsidRPr="00C21F3C">
        <w:rPr>
          <w:lang w:eastAsia="en-US"/>
        </w:rPr>
        <w:t xml:space="preserve"> </w:t>
      </w:r>
      <w:r>
        <w:rPr>
          <w:lang w:eastAsia="en-US"/>
        </w:rPr>
        <w:t>and electives</w:t>
      </w:r>
      <w:r w:rsidRPr="00C21F3C">
        <w:rPr>
          <w:lang w:eastAsia="en-US"/>
        </w:rPr>
        <w:t>.</w:t>
      </w:r>
    </w:p>
    <w:tbl>
      <w:tblPr>
        <w:tblStyle w:val="QCAAtablestyle1"/>
        <w:tblW w:w="4900" w:type="pct"/>
        <w:tblInd w:w="108" w:type="dxa"/>
        <w:tblLook w:val="04A0" w:firstRow="1" w:lastRow="0" w:firstColumn="1" w:lastColumn="0" w:noHBand="0" w:noVBand="1"/>
      </w:tblPr>
      <w:tblGrid>
        <w:gridCol w:w="3946"/>
        <w:gridCol w:w="2684"/>
        <w:gridCol w:w="2250"/>
      </w:tblGrid>
      <w:tr w:rsidR="00352F6F" w:rsidTr="003356C9">
        <w:trPr>
          <w:cnfStyle w:val="100000000000" w:firstRow="1" w:lastRow="0" w:firstColumn="0" w:lastColumn="0" w:oddVBand="0" w:evenVBand="0" w:oddHBand="0" w:evenHBand="0" w:firstRowFirstColumn="0" w:firstRowLastColumn="0" w:lastRowFirstColumn="0" w:lastRowLastColumn="0"/>
        </w:trPr>
        <w:tc>
          <w:tcPr>
            <w:tcW w:w="3856" w:type="dxa"/>
          </w:tcPr>
          <w:p w:rsidR="00352F6F" w:rsidRDefault="00352F6F" w:rsidP="008C3C06">
            <w:pPr>
              <w:pStyle w:val="Tableheading"/>
            </w:pPr>
            <w:r>
              <w:t xml:space="preserve">Core </w:t>
            </w:r>
            <w:r w:rsidR="00C17CFA">
              <w:t>topics</w:t>
            </w:r>
          </w:p>
        </w:tc>
        <w:tc>
          <w:tcPr>
            <w:tcW w:w="4820" w:type="dxa"/>
            <w:gridSpan w:val="2"/>
            <w:tcBorders>
              <w:bottom w:val="single" w:sz="12" w:space="0" w:color="D52B1E" w:themeColor="accent1"/>
            </w:tcBorders>
          </w:tcPr>
          <w:p w:rsidR="00352F6F" w:rsidRDefault="00352F6F" w:rsidP="008C3C06">
            <w:pPr>
              <w:pStyle w:val="Tableheading"/>
            </w:pPr>
            <w:r>
              <w:t>Elective</w:t>
            </w:r>
            <w:r w:rsidR="00C17CFA">
              <w:t xml:space="preserve"> topic</w:t>
            </w:r>
            <w:r>
              <w:t>s</w:t>
            </w:r>
          </w:p>
        </w:tc>
      </w:tr>
      <w:tr w:rsidR="00224115" w:rsidRPr="00DA17A6" w:rsidTr="003356C9">
        <w:tc>
          <w:tcPr>
            <w:tcW w:w="3856" w:type="dxa"/>
          </w:tcPr>
          <w:p w:rsidR="00224115" w:rsidRPr="00667922" w:rsidRDefault="00224115" w:rsidP="006853BF">
            <w:pPr>
              <w:pStyle w:val="TableBullet"/>
            </w:pPr>
            <w:r>
              <w:rPr>
                <w:lang w:val="en-US"/>
              </w:rPr>
              <w:t>Tourism as an industry</w:t>
            </w:r>
          </w:p>
          <w:p w:rsidR="00224115" w:rsidRPr="00667922" w:rsidRDefault="00224115" w:rsidP="006853BF">
            <w:pPr>
              <w:pStyle w:val="TableBullet"/>
            </w:pPr>
            <w:r>
              <w:rPr>
                <w:lang w:val="en-US"/>
              </w:rPr>
              <w:t>The travel experience</w:t>
            </w:r>
          </w:p>
          <w:p w:rsidR="00224115" w:rsidRPr="005F40D3" w:rsidRDefault="00224115" w:rsidP="006853BF">
            <w:pPr>
              <w:pStyle w:val="TableBullet"/>
            </w:pPr>
            <w:r>
              <w:rPr>
                <w:lang w:val="en-US"/>
              </w:rPr>
              <w:t>Sustainable tourism</w:t>
            </w:r>
          </w:p>
          <w:p w:rsidR="00224115" w:rsidRDefault="00224115" w:rsidP="006853BF">
            <w:pPr>
              <w:pStyle w:val="TableBullet"/>
              <w:numPr>
                <w:ilvl w:val="0"/>
                <w:numId w:val="0"/>
              </w:numPr>
            </w:pPr>
          </w:p>
        </w:tc>
        <w:tc>
          <w:tcPr>
            <w:tcW w:w="2622" w:type="dxa"/>
            <w:tcBorders>
              <w:top w:val="single" w:sz="12" w:space="0" w:color="D52B1E" w:themeColor="accent1"/>
              <w:right w:val="nil"/>
            </w:tcBorders>
          </w:tcPr>
          <w:p w:rsidR="00224115" w:rsidRDefault="00224115" w:rsidP="006853BF">
            <w:pPr>
              <w:pStyle w:val="TableBullet"/>
            </w:pPr>
            <w:r>
              <w:t>Technology and tourism</w:t>
            </w:r>
          </w:p>
          <w:p w:rsidR="00224115" w:rsidRDefault="00224115" w:rsidP="006853BF">
            <w:pPr>
              <w:pStyle w:val="TableBullet"/>
            </w:pPr>
            <w:r>
              <w:t>Forms of tourism</w:t>
            </w:r>
          </w:p>
          <w:p w:rsidR="00224115" w:rsidRDefault="00224115" w:rsidP="006853BF">
            <w:pPr>
              <w:pStyle w:val="TableBullet"/>
            </w:pPr>
            <w:r>
              <w:t>Tourist destinations and attractions</w:t>
            </w:r>
          </w:p>
        </w:tc>
        <w:tc>
          <w:tcPr>
            <w:tcW w:w="2198" w:type="dxa"/>
            <w:tcBorders>
              <w:top w:val="single" w:sz="12" w:space="0" w:color="D52B1E" w:themeColor="accent1"/>
              <w:left w:val="nil"/>
            </w:tcBorders>
          </w:tcPr>
          <w:p w:rsidR="00224115" w:rsidRDefault="00224115" w:rsidP="006853BF">
            <w:pPr>
              <w:pStyle w:val="TableBullet"/>
            </w:pPr>
            <w:r>
              <w:t>Tourism marketing</w:t>
            </w:r>
          </w:p>
          <w:p w:rsidR="00224115" w:rsidRDefault="00224115" w:rsidP="006853BF">
            <w:pPr>
              <w:pStyle w:val="TableBullet"/>
            </w:pPr>
            <w:r>
              <w:t>Types of tourism</w:t>
            </w:r>
          </w:p>
          <w:p w:rsidR="00224115" w:rsidRPr="00DA17A6" w:rsidRDefault="00224115" w:rsidP="006853BF">
            <w:pPr>
              <w:pStyle w:val="TableBullet"/>
            </w:pPr>
            <w:r>
              <w:t>Tourism client groups</w:t>
            </w:r>
          </w:p>
        </w:tc>
      </w:tr>
    </w:tbl>
    <w:p w:rsidR="00471C73" w:rsidRPr="009F47CD" w:rsidRDefault="00471C73" w:rsidP="009F47CD"/>
    <w:p w:rsidR="00471C73" w:rsidRPr="009F47CD" w:rsidRDefault="00471C73" w:rsidP="009F47CD">
      <w:r>
        <w:br w:type="page"/>
      </w:r>
    </w:p>
    <w:p w:rsidR="00352F6F" w:rsidRDefault="00352F6F" w:rsidP="00352F6F">
      <w:pPr>
        <w:pStyle w:val="Heading3"/>
      </w:pPr>
      <w:bookmarkStart w:id="185" w:name="_Toc16163562"/>
      <w:r>
        <w:t>Assessment</w:t>
      </w:r>
      <w:bookmarkEnd w:id="185"/>
    </w:p>
    <w:p w:rsidR="00352F6F" w:rsidRDefault="00B6042E" w:rsidP="00352F6F">
      <w:pPr>
        <w:pStyle w:val="BodyText"/>
        <w:spacing w:before="120"/>
        <w:rPr>
          <w:noProof/>
        </w:rPr>
      </w:pPr>
      <w:r>
        <w:rPr>
          <w:noProof/>
        </w:rPr>
        <w:t>For Tourism, a</w:t>
      </w:r>
      <w:r w:rsidR="00352F6F">
        <w:rPr>
          <w:noProof/>
        </w:rPr>
        <w:t>ssessment from Units 3 and 4 is used to deter</w:t>
      </w:r>
      <w:r>
        <w:rPr>
          <w:noProof/>
        </w:rPr>
        <w:t xml:space="preserve">mine the student’s exit result, and </w:t>
      </w:r>
      <w:r w:rsidR="00352F6F">
        <w:rPr>
          <w:noProof/>
        </w:rPr>
        <w:t xml:space="preserve">consists of four instruments from </w:t>
      </w:r>
      <w:r w:rsidR="00352F6F">
        <w:t>at least three different assessment techniques</w:t>
      </w:r>
      <w:r>
        <w:t>,</w:t>
      </w:r>
      <w:r w:rsidR="00352F6F">
        <w:t xml:space="preserve"> including:</w:t>
      </w:r>
    </w:p>
    <w:p w:rsidR="00352F6F" w:rsidRDefault="00352F6F" w:rsidP="00352F6F">
      <w:pPr>
        <w:pStyle w:val="ListBullet0"/>
      </w:pPr>
      <w:r>
        <w:t xml:space="preserve">one project </w:t>
      </w:r>
    </w:p>
    <w:p w:rsidR="00352F6F" w:rsidRDefault="00352F6F" w:rsidP="00352F6F">
      <w:pPr>
        <w:pStyle w:val="ListBullet0"/>
      </w:pPr>
      <w:r>
        <w:t>one examination</w:t>
      </w:r>
    </w:p>
    <w:p w:rsidR="00352F6F" w:rsidRDefault="00352F6F" w:rsidP="00352F6F">
      <w:pPr>
        <w:pStyle w:val="ListBullet0"/>
      </w:pPr>
      <w:r>
        <w:t>no more than two assessments from each technique.</w:t>
      </w:r>
    </w:p>
    <w:tbl>
      <w:tblPr>
        <w:tblStyle w:val="QCAAtablestyle1"/>
        <w:tblW w:w="4900" w:type="pct"/>
        <w:tblLook w:val="04A0" w:firstRow="1" w:lastRow="0" w:firstColumn="1" w:lastColumn="0" w:noHBand="0" w:noVBand="1"/>
      </w:tblPr>
      <w:tblGrid>
        <w:gridCol w:w="2226"/>
        <w:gridCol w:w="2216"/>
        <w:gridCol w:w="2229"/>
        <w:gridCol w:w="2209"/>
      </w:tblGrid>
      <w:tr w:rsidR="00352F6F" w:rsidTr="001811A4">
        <w:trPr>
          <w:cnfStyle w:val="100000000000" w:firstRow="1" w:lastRow="0" w:firstColumn="0" w:lastColumn="0" w:oddVBand="0" w:evenVBand="0" w:oddHBand="0" w:evenHBand="0" w:firstRowFirstColumn="0" w:firstRowLastColumn="0" w:lastRowFirstColumn="0" w:lastRowLastColumn="0"/>
        </w:trPr>
        <w:tc>
          <w:tcPr>
            <w:tcW w:w="2245" w:type="dxa"/>
          </w:tcPr>
          <w:p w:rsidR="00352F6F" w:rsidRPr="00C21F3C" w:rsidRDefault="00352F6F" w:rsidP="00F83C91">
            <w:pPr>
              <w:pStyle w:val="BodyText"/>
              <w:rPr>
                <w:b/>
              </w:rPr>
            </w:pPr>
            <w:r w:rsidRPr="00C21F3C">
              <w:rPr>
                <w:b/>
              </w:rPr>
              <w:t xml:space="preserve">Project </w:t>
            </w:r>
          </w:p>
          <w:p w:rsidR="00352F6F" w:rsidRDefault="00352F6F" w:rsidP="00F83C91">
            <w:pPr>
              <w:pStyle w:val="BodyText"/>
            </w:pPr>
          </w:p>
        </w:tc>
        <w:tc>
          <w:tcPr>
            <w:tcW w:w="2234" w:type="dxa"/>
          </w:tcPr>
          <w:p w:rsidR="00352F6F" w:rsidRDefault="00352F6F" w:rsidP="00F83C91">
            <w:pPr>
              <w:pStyle w:val="Tableheading"/>
            </w:pPr>
            <w:r>
              <w:t>Investigation</w:t>
            </w:r>
          </w:p>
          <w:p w:rsidR="00352F6F" w:rsidRPr="0026298D" w:rsidRDefault="00352F6F" w:rsidP="00F83C91">
            <w:pPr>
              <w:pStyle w:val="ListBullet0"/>
              <w:numPr>
                <w:ilvl w:val="0"/>
                <w:numId w:val="0"/>
              </w:numPr>
            </w:pPr>
          </w:p>
        </w:tc>
        <w:tc>
          <w:tcPr>
            <w:tcW w:w="2234" w:type="dxa"/>
          </w:tcPr>
          <w:p w:rsidR="00352F6F" w:rsidRDefault="00352F6F" w:rsidP="00F83C91">
            <w:pPr>
              <w:pStyle w:val="Tableheading"/>
            </w:pPr>
            <w:r>
              <w:t>Extended response</w:t>
            </w:r>
          </w:p>
          <w:p w:rsidR="00352F6F" w:rsidRPr="0026298D" w:rsidRDefault="00352F6F" w:rsidP="00F83C91">
            <w:pPr>
              <w:pStyle w:val="ListBullet0"/>
              <w:numPr>
                <w:ilvl w:val="0"/>
                <w:numId w:val="0"/>
              </w:numPr>
            </w:pPr>
          </w:p>
        </w:tc>
        <w:tc>
          <w:tcPr>
            <w:tcW w:w="2235" w:type="dxa"/>
          </w:tcPr>
          <w:p w:rsidR="00352F6F" w:rsidRDefault="00352F6F" w:rsidP="00F83C91">
            <w:pPr>
              <w:pStyle w:val="Tableheading"/>
            </w:pPr>
            <w:r>
              <w:t>Examination</w:t>
            </w:r>
          </w:p>
          <w:p w:rsidR="00352F6F" w:rsidRPr="0026298D" w:rsidRDefault="00352F6F" w:rsidP="00F83C91">
            <w:pPr>
              <w:pStyle w:val="ListBullet0"/>
              <w:numPr>
                <w:ilvl w:val="0"/>
                <w:numId w:val="0"/>
              </w:numPr>
            </w:pPr>
          </w:p>
        </w:tc>
      </w:tr>
      <w:tr w:rsidR="00352F6F" w:rsidTr="001811A4">
        <w:tc>
          <w:tcPr>
            <w:tcW w:w="2245" w:type="dxa"/>
          </w:tcPr>
          <w:p w:rsidR="00352F6F" w:rsidRDefault="00352F6F" w:rsidP="00F83C91">
            <w:pPr>
              <w:pStyle w:val="BodyText"/>
            </w:pPr>
            <w:r w:rsidRPr="00D20CAB">
              <w:t>A response to a single t</w:t>
            </w:r>
            <w:r>
              <w:t>ask, situation and/or scenario.</w:t>
            </w:r>
          </w:p>
        </w:tc>
        <w:tc>
          <w:tcPr>
            <w:tcW w:w="2234" w:type="dxa"/>
          </w:tcPr>
          <w:p w:rsidR="00352F6F" w:rsidRPr="00C21F3C" w:rsidRDefault="00352F6F" w:rsidP="00F83C91">
            <w:pPr>
              <w:pStyle w:val="Tableheading"/>
              <w:rPr>
                <w:b w:val="0"/>
              </w:rPr>
            </w:pPr>
            <w:r w:rsidRPr="00C21F3C">
              <w:rPr>
                <w:b w:val="0"/>
              </w:rPr>
              <w:t>A response that includes locating and using information beyond students’ own knowledge and the data they have been given.</w:t>
            </w:r>
          </w:p>
        </w:tc>
        <w:tc>
          <w:tcPr>
            <w:tcW w:w="2234" w:type="dxa"/>
          </w:tcPr>
          <w:p w:rsidR="00352F6F" w:rsidRPr="00C21F3C" w:rsidRDefault="00352F6F" w:rsidP="00F83C91">
            <w:pPr>
              <w:pStyle w:val="Tableheading"/>
              <w:rPr>
                <w:b w:val="0"/>
              </w:rPr>
            </w:pPr>
            <w:r w:rsidRPr="00C21F3C">
              <w:rPr>
                <w:b w:val="0"/>
              </w:rPr>
              <w:t xml:space="preserve">A </w:t>
            </w:r>
            <w:r w:rsidR="00570F76">
              <w:rPr>
                <w:b w:val="0"/>
              </w:rPr>
              <w:t>technique that assesses</w:t>
            </w:r>
            <w:r w:rsidRPr="00C21F3C">
              <w:rPr>
                <w:b w:val="0"/>
              </w:rPr>
              <w:t xml:space="preserve"> the interpretation, analysis/examination and/or evaluation of ideas and information in provided stimulus materials.</w:t>
            </w:r>
          </w:p>
        </w:tc>
        <w:tc>
          <w:tcPr>
            <w:tcW w:w="2235" w:type="dxa"/>
          </w:tcPr>
          <w:p w:rsidR="00352F6F" w:rsidRPr="00C21F3C" w:rsidRDefault="00352F6F" w:rsidP="00F83C91">
            <w:pPr>
              <w:pStyle w:val="Tableheading"/>
              <w:rPr>
                <w:b w:val="0"/>
              </w:rPr>
            </w:pPr>
            <w:r w:rsidRPr="00C21F3C">
              <w:rPr>
                <w:b w:val="0"/>
              </w:rPr>
              <w:t>A response that answers a number of provided questions, scenarios and/or problems.</w:t>
            </w:r>
          </w:p>
        </w:tc>
      </w:tr>
      <w:tr w:rsidR="00352F6F" w:rsidTr="001811A4">
        <w:tc>
          <w:tcPr>
            <w:tcW w:w="2245" w:type="dxa"/>
          </w:tcPr>
          <w:p w:rsidR="00352F6F" w:rsidRPr="00326D8F" w:rsidRDefault="00352F6F" w:rsidP="00F83C91">
            <w:pPr>
              <w:pStyle w:val="Tablesubhead"/>
              <w:rPr>
                <w:b w:val="0"/>
              </w:rPr>
            </w:pPr>
            <w:r w:rsidRPr="00326D8F">
              <w:rPr>
                <w:b w:val="0"/>
              </w:rPr>
              <w:t xml:space="preserve">At least two </w:t>
            </w:r>
            <w:r>
              <w:rPr>
                <w:b w:val="0"/>
              </w:rPr>
              <w:t xml:space="preserve">different </w:t>
            </w:r>
            <w:r w:rsidRPr="00326D8F">
              <w:rPr>
                <w:b w:val="0"/>
              </w:rPr>
              <w:t>components from the following:</w:t>
            </w:r>
          </w:p>
          <w:p w:rsidR="00352F6F" w:rsidRDefault="00B6042E" w:rsidP="00224115">
            <w:pPr>
              <w:pStyle w:val="TableBullet"/>
            </w:pPr>
            <w:r>
              <w:t>w</w:t>
            </w:r>
            <w:r w:rsidR="00352F6F">
              <w:t>ritten: 500</w:t>
            </w:r>
            <w:r w:rsidR="00325CA0">
              <w:t>–</w:t>
            </w:r>
            <w:r w:rsidR="00352F6F">
              <w:t>900 words</w:t>
            </w:r>
          </w:p>
          <w:p w:rsidR="00352F6F" w:rsidRDefault="00B6042E" w:rsidP="00224115">
            <w:pPr>
              <w:pStyle w:val="TableBullet"/>
            </w:pPr>
            <w:r>
              <w:t>s</w:t>
            </w:r>
            <w:r w:rsidR="00325CA0">
              <w:t>poken: 2</w:t>
            </w:r>
            <w:r w:rsidR="00352F6F">
              <w:t>½</w:t>
            </w:r>
            <w:r w:rsidR="00325CA0">
              <w:t>–</w:t>
            </w:r>
            <w:r w:rsidR="00352F6F">
              <w:t>3½ minutes</w:t>
            </w:r>
          </w:p>
          <w:p w:rsidR="00B263B7" w:rsidRDefault="00B6042E" w:rsidP="00B263B7">
            <w:pPr>
              <w:pStyle w:val="TableBullet"/>
              <w:rPr>
                <w:noProof/>
              </w:rPr>
            </w:pPr>
            <w:r>
              <w:rPr>
                <w:noProof/>
              </w:rPr>
              <w:t>multimodal</w:t>
            </w:r>
          </w:p>
          <w:p w:rsidR="00B263B7" w:rsidRPr="004B5ECE" w:rsidRDefault="00B6042E" w:rsidP="00B263B7">
            <w:pPr>
              <w:pStyle w:val="TableBullet2"/>
              <w:rPr>
                <w:noProof/>
                <w:lang w:val="fr-FR"/>
              </w:rPr>
            </w:pPr>
            <w:r w:rsidRPr="004B5ECE">
              <w:rPr>
                <w:noProof/>
                <w:lang w:val="fr-FR"/>
              </w:rPr>
              <w:t>non-presentation:</w:t>
            </w:r>
            <w:r w:rsidR="00B263B7" w:rsidRPr="004B5ECE">
              <w:rPr>
                <w:noProof/>
                <w:lang w:val="fr-FR"/>
              </w:rPr>
              <w:t xml:space="preserve"> 8 A4 pages max (or equivalent)</w:t>
            </w:r>
          </w:p>
          <w:p w:rsidR="00B263B7" w:rsidRDefault="00B6042E" w:rsidP="008C3C06">
            <w:pPr>
              <w:pStyle w:val="TableBullet2"/>
            </w:pPr>
            <w:r>
              <w:rPr>
                <w:noProof/>
              </w:rPr>
              <w:t>presentation:</w:t>
            </w:r>
            <w:r w:rsidR="00B263B7">
              <w:rPr>
                <w:noProof/>
              </w:rPr>
              <w:t xml:space="preserve"> 3–6 minutes</w:t>
            </w:r>
            <w:r w:rsidR="00B263B7">
              <w:t xml:space="preserve"> </w:t>
            </w:r>
          </w:p>
          <w:p w:rsidR="00352F6F" w:rsidRDefault="00B6042E" w:rsidP="00B263B7">
            <w:pPr>
              <w:pStyle w:val="TableBullet"/>
            </w:pPr>
            <w:r>
              <w:t>p</w:t>
            </w:r>
            <w:r w:rsidR="00352F6F">
              <w:t>erformance: continuous class time</w:t>
            </w:r>
          </w:p>
          <w:p w:rsidR="00352F6F" w:rsidRDefault="00B6042E" w:rsidP="00224115">
            <w:pPr>
              <w:pStyle w:val="TableBullet"/>
            </w:pPr>
            <w:r>
              <w:t>p</w:t>
            </w:r>
            <w:r w:rsidR="00352F6F">
              <w:t>roduct: continuous class time</w:t>
            </w:r>
            <w:r w:rsidR="00224115">
              <w:t>.</w:t>
            </w:r>
          </w:p>
        </w:tc>
        <w:tc>
          <w:tcPr>
            <w:tcW w:w="2234" w:type="dxa"/>
          </w:tcPr>
          <w:p w:rsidR="00C72CB8" w:rsidRDefault="00C72CB8" w:rsidP="008C3C06">
            <w:pPr>
              <w:pStyle w:val="TableText0"/>
            </w:pPr>
            <w:r w:rsidRPr="00C72CB8">
              <w:t>Presented in one of the following modes:</w:t>
            </w:r>
          </w:p>
          <w:p w:rsidR="00352F6F" w:rsidRDefault="00B6042E" w:rsidP="00224115">
            <w:pPr>
              <w:pStyle w:val="TableBullet"/>
            </w:pPr>
            <w:r>
              <w:t>written:</w:t>
            </w:r>
            <w:r w:rsidR="00325CA0">
              <w:t xml:space="preserve"> 600–</w:t>
            </w:r>
            <w:r w:rsidR="00352F6F">
              <w:t>1000 words</w:t>
            </w:r>
          </w:p>
          <w:p w:rsidR="00352F6F" w:rsidRDefault="00B6042E" w:rsidP="00224115">
            <w:pPr>
              <w:pStyle w:val="TableBullet"/>
            </w:pPr>
            <w:r>
              <w:t>s</w:t>
            </w:r>
            <w:r w:rsidR="00325CA0">
              <w:t>poken: 3–</w:t>
            </w:r>
            <w:r w:rsidR="00352F6F">
              <w:t>4 minutes</w:t>
            </w:r>
          </w:p>
          <w:p w:rsidR="00B263B7" w:rsidRDefault="00B6042E" w:rsidP="00B263B7">
            <w:pPr>
              <w:pStyle w:val="TableBullet"/>
              <w:rPr>
                <w:noProof/>
              </w:rPr>
            </w:pPr>
            <w:r>
              <w:rPr>
                <w:noProof/>
              </w:rPr>
              <w:t>multimodal</w:t>
            </w:r>
          </w:p>
          <w:p w:rsidR="00B263B7" w:rsidRPr="004B5ECE" w:rsidRDefault="00B6042E" w:rsidP="00B263B7">
            <w:pPr>
              <w:pStyle w:val="TableBullet2"/>
              <w:rPr>
                <w:noProof/>
                <w:lang w:val="fr-FR"/>
              </w:rPr>
            </w:pPr>
            <w:r w:rsidRPr="004B5ECE">
              <w:rPr>
                <w:noProof/>
                <w:lang w:val="fr-FR"/>
              </w:rPr>
              <w:t>non-presentation:</w:t>
            </w:r>
            <w:r w:rsidR="00B263B7" w:rsidRPr="004B5ECE">
              <w:rPr>
                <w:noProof/>
                <w:lang w:val="fr-FR"/>
              </w:rPr>
              <w:t xml:space="preserve"> 10 A4 pages max (or equivalent)</w:t>
            </w:r>
          </w:p>
          <w:p w:rsidR="00352F6F" w:rsidRDefault="00B263B7" w:rsidP="008C3C06">
            <w:pPr>
              <w:pStyle w:val="TableBullet2"/>
            </w:pPr>
            <w:r>
              <w:rPr>
                <w:noProof/>
              </w:rPr>
              <w:t>pre</w:t>
            </w:r>
            <w:r w:rsidR="00B6042E">
              <w:rPr>
                <w:noProof/>
              </w:rPr>
              <w:t>sentation:</w:t>
            </w:r>
            <w:r w:rsidR="00325CA0">
              <w:rPr>
                <w:noProof/>
              </w:rPr>
              <w:t xml:space="preserve"> 4</w:t>
            </w:r>
            <w:r w:rsidR="00325CA0">
              <w:t>–</w:t>
            </w:r>
            <w:r>
              <w:rPr>
                <w:noProof/>
              </w:rPr>
              <w:t>7 minutes</w:t>
            </w:r>
            <w:r w:rsidR="00284FD2">
              <w:t>.</w:t>
            </w:r>
          </w:p>
        </w:tc>
        <w:tc>
          <w:tcPr>
            <w:tcW w:w="2234" w:type="dxa"/>
          </w:tcPr>
          <w:p w:rsidR="00C72CB8" w:rsidRDefault="00284FD2" w:rsidP="008C3C06">
            <w:pPr>
              <w:pStyle w:val="TableText0"/>
            </w:pPr>
            <w:r w:rsidRPr="00284FD2">
              <w:t>Presented in one of the following modes:</w:t>
            </w:r>
          </w:p>
          <w:p w:rsidR="00352F6F" w:rsidRDefault="00B6042E" w:rsidP="00284FD2">
            <w:pPr>
              <w:pStyle w:val="TableBullet"/>
            </w:pPr>
            <w:r>
              <w:t>w</w:t>
            </w:r>
            <w:r w:rsidR="00325CA0">
              <w:t>ritten: 600–</w:t>
            </w:r>
            <w:r w:rsidR="00352F6F">
              <w:t>1000 words</w:t>
            </w:r>
          </w:p>
          <w:p w:rsidR="00352F6F" w:rsidRDefault="00B6042E" w:rsidP="00224115">
            <w:pPr>
              <w:pStyle w:val="TableBullet"/>
            </w:pPr>
            <w:r>
              <w:t>s</w:t>
            </w:r>
            <w:r w:rsidR="00325CA0">
              <w:t>poken: 3–</w:t>
            </w:r>
            <w:r w:rsidR="00352F6F">
              <w:t>4 minutes</w:t>
            </w:r>
          </w:p>
          <w:p w:rsidR="00B263B7" w:rsidRDefault="00B6042E" w:rsidP="00B263B7">
            <w:pPr>
              <w:pStyle w:val="TableBullet"/>
              <w:rPr>
                <w:noProof/>
              </w:rPr>
            </w:pPr>
            <w:r>
              <w:rPr>
                <w:noProof/>
              </w:rPr>
              <w:t>multimodal</w:t>
            </w:r>
          </w:p>
          <w:p w:rsidR="00B263B7" w:rsidRPr="004B5ECE" w:rsidRDefault="00B6042E" w:rsidP="00B263B7">
            <w:pPr>
              <w:pStyle w:val="TableBullet2"/>
              <w:rPr>
                <w:noProof/>
                <w:lang w:val="fr-FR"/>
              </w:rPr>
            </w:pPr>
            <w:r w:rsidRPr="004B5ECE">
              <w:rPr>
                <w:noProof/>
                <w:lang w:val="fr-FR"/>
              </w:rPr>
              <w:t>non-presentation:</w:t>
            </w:r>
            <w:r w:rsidR="00B263B7" w:rsidRPr="004B5ECE">
              <w:rPr>
                <w:noProof/>
                <w:lang w:val="fr-FR"/>
              </w:rPr>
              <w:t xml:space="preserve"> 10 A4 pages max (or equivalent)</w:t>
            </w:r>
          </w:p>
          <w:p w:rsidR="00352F6F" w:rsidRDefault="00B6042E" w:rsidP="008C3C06">
            <w:pPr>
              <w:pStyle w:val="TableBullet2"/>
            </w:pPr>
            <w:r>
              <w:rPr>
                <w:noProof/>
              </w:rPr>
              <w:t>presentation:</w:t>
            </w:r>
            <w:r w:rsidR="00325CA0">
              <w:rPr>
                <w:noProof/>
              </w:rPr>
              <w:t xml:space="preserve"> 4</w:t>
            </w:r>
            <w:r w:rsidR="00325CA0">
              <w:t>–</w:t>
            </w:r>
            <w:r w:rsidR="00B263B7">
              <w:rPr>
                <w:noProof/>
              </w:rPr>
              <w:t>7 minutes</w:t>
            </w:r>
            <w:r w:rsidR="00284FD2">
              <w:rPr>
                <w:noProof/>
              </w:rPr>
              <w:t>.</w:t>
            </w:r>
          </w:p>
        </w:tc>
        <w:tc>
          <w:tcPr>
            <w:tcW w:w="2235" w:type="dxa"/>
          </w:tcPr>
          <w:p w:rsidR="00352F6F" w:rsidRDefault="00325CA0" w:rsidP="00F83C91">
            <w:pPr>
              <w:pStyle w:val="ListBullet0"/>
            </w:pPr>
            <w:r>
              <w:t>60–</w:t>
            </w:r>
            <w:r w:rsidR="00352F6F">
              <w:t>90 minutes</w:t>
            </w:r>
          </w:p>
          <w:p w:rsidR="00352F6F" w:rsidRDefault="00325CA0" w:rsidP="00F83C91">
            <w:pPr>
              <w:pStyle w:val="ListBullet0"/>
            </w:pPr>
            <w:r>
              <w:t>50–</w:t>
            </w:r>
            <w:r w:rsidR="00352F6F">
              <w:t xml:space="preserve">250 words per item </w:t>
            </w:r>
          </w:p>
        </w:tc>
      </w:tr>
    </w:tbl>
    <w:p w:rsidR="00352F6F" w:rsidRDefault="00352F6F" w:rsidP="00352F6F">
      <w:r>
        <w:br w:type="page"/>
      </w:r>
    </w:p>
    <w:p w:rsidR="00227C2B" w:rsidRDefault="00227C2B" w:rsidP="00227C2B">
      <w:bookmarkStart w:id="186" w:name="_Hlk492976217"/>
    </w:p>
    <w:bookmarkEnd w:id="186"/>
    <w:tbl>
      <w:tblPr>
        <w:tblStyle w:val="TextLayout"/>
        <w:tblW w:w="5650" w:type="pct"/>
        <w:tblInd w:w="-170" w:type="dxa"/>
        <w:tblLayout w:type="fixed"/>
        <w:tblLook w:val="04A0" w:firstRow="1" w:lastRow="0" w:firstColumn="1" w:lastColumn="0" w:noHBand="0" w:noVBand="1"/>
      </w:tblPr>
      <w:tblGrid>
        <w:gridCol w:w="141"/>
        <w:gridCol w:w="9264"/>
        <w:gridCol w:w="845"/>
      </w:tblGrid>
      <w:tr w:rsidR="00160030" w:rsidRPr="003B6F39" w:rsidTr="002037BC">
        <w:trPr>
          <w:trHeight w:hRule="exact" w:val="851"/>
        </w:trPr>
        <w:tc>
          <w:tcPr>
            <w:tcW w:w="142" w:type="dxa"/>
            <w:shd w:val="clear" w:color="auto" w:fill="003378"/>
          </w:tcPr>
          <w:p w:rsidR="00160030" w:rsidRDefault="00160030" w:rsidP="002037BC">
            <w:pPr>
              <w:pStyle w:val="Tabletext"/>
            </w:pPr>
          </w:p>
        </w:tc>
        <w:tc>
          <w:tcPr>
            <w:tcW w:w="9323" w:type="dxa"/>
            <w:tcMar>
              <w:left w:w="57" w:type="dxa"/>
            </w:tcMar>
            <w:vAlign w:val="center"/>
          </w:tcPr>
          <w:p w:rsidR="00160030" w:rsidRDefault="00160030" w:rsidP="00CD2D5C">
            <w:pPr>
              <w:pStyle w:val="SubjectHeading"/>
            </w:pPr>
            <w:r>
              <w:t>Design</w:t>
            </w:r>
          </w:p>
          <w:p w:rsidR="00160030" w:rsidRPr="00E86C01" w:rsidRDefault="00160030" w:rsidP="002037BC">
            <w:pPr>
              <w:pStyle w:val="Heading3"/>
              <w:spacing w:before="0" w:after="0"/>
            </w:pPr>
            <w:bookmarkStart w:id="187" w:name="_Toc16163563"/>
            <w:r>
              <w:t>General senior subject</w:t>
            </w:r>
            <w:bookmarkEnd w:id="187"/>
          </w:p>
        </w:tc>
        <w:tc>
          <w:tcPr>
            <w:tcW w:w="850" w:type="dxa"/>
            <w:shd w:val="clear" w:color="auto" w:fill="003378"/>
            <w:tcMar>
              <w:bottom w:w="28" w:type="dxa"/>
              <w:right w:w="57" w:type="dxa"/>
            </w:tcMar>
            <w:vAlign w:val="bottom"/>
          </w:tcPr>
          <w:p w:rsidR="00160030" w:rsidRPr="00BE0C34" w:rsidRDefault="00160030" w:rsidP="002037BC">
            <w:pPr>
              <w:pStyle w:val="Heading3"/>
              <w:spacing w:before="0" w:after="100" w:afterAutospacing="1"/>
              <w:jc w:val="right"/>
              <w:rPr>
                <w:color w:val="FFFFFF" w:themeColor="background1"/>
                <w:sz w:val="17"/>
                <w:szCs w:val="17"/>
              </w:rPr>
            </w:pPr>
            <w:bookmarkStart w:id="188" w:name="_Toc16163564"/>
            <w:r>
              <w:rPr>
                <w:color w:val="FFFFFF" w:themeColor="background1"/>
                <w:sz w:val="17"/>
                <w:szCs w:val="17"/>
              </w:rPr>
              <w:t>General</w:t>
            </w:r>
            <w:bookmarkEnd w:id="188"/>
          </w:p>
        </w:tc>
      </w:tr>
      <w:tr w:rsidR="004D730A" w:rsidRPr="003B6F39" w:rsidTr="00B36316">
        <w:trPr>
          <w:trHeight w:hRule="exact" w:val="113"/>
        </w:trPr>
        <w:tc>
          <w:tcPr>
            <w:tcW w:w="10315" w:type="dxa"/>
            <w:gridSpan w:val="3"/>
            <w:shd w:val="clear" w:color="auto" w:fill="auto"/>
          </w:tcPr>
          <w:p w:rsidR="004D730A" w:rsidRDefault="004D730A" w:rsidP="00B36316">
            <w:pPr>
              <w:pStyle w:val="Heading3"/>
              <w:spacing w:before="0" w:after="100" w:afterAutospacing="1"/>
              <w:rPr>
                <w:color w:val="FFFFFF" w:themeColor="background1"/>
                <w:sz w:val="17"/>
                <w:szCs w:val="17"/>
              </w:rPr>
            </w:pPr>
          </w:p>
        </w:tc>
      </w:tr>
    </w:tbl>
    <w:p w:rsidR="00FB1236" w:rsidRDefault="00FB1236" w:rsidP="005B299D">
      <w:pPr>
        <w:pStyle w:val="BodyText"/>
        <w:spacing w:before="120"/>
        <w:rPr>
          <w:noProof/>
        </w:rPr>
        <w:sectPr w:rsidR="00FB1236" w:rsidSect="005F3A96">
          <w:headerReference w:type="default" r:id="rId31"/>
          <w:type w:val="continuous"/>
          <w:pgSz w:w="11907" w:h="16840" w:code="9"/>
          <w:pgMar w:top="1134" w:right="1418" w:bottom="1701" w:left="1418" w:header="567" w:footer="284" w:gutter="0"/>
          <w:cols w:space="720"/>
          <w:formProt w:val="0"/>
          <w:noEndnote/>
          <w:docGrid w:linePitch="299"/>
        </w:sectPr>
      </w:pPr>
    </w:p>
    <w:p w:rsidR="00FB1236" w:rsidRDefault="00FB1236" w:rsidP="008C3C06">
      <w:pPr>
        <w:pStyle w:val="BodyText"/>
      </w:pPr>
      <w:r w:rsidRPr="008C3C06">
        <w:t>Design focuses on the application of design thinking to envisage creative products, services and environments in response to human needs, wants and opportunities. Designing is a complex and sophisticated form of problem-solving that uses divergent and convergent thinking strategies that can be practised and improved. Designers are separated from the constraints of production processes to allow them to appreciate and exploit new innovative ideas.</w:t>
      </w:r>
    </w:p>
    <w:p w:rsidR="00FB1236" w:rsidRDefault="00122C2C" w:rsidP="008C3C06">
      <w:pPr>
        <w:pStyle w:val="BodyText"/>
      </w:pPr>
      <w:r w:rsidRPr="00122C2C">
        <w:t>Students learn how design has influenced the economic, social and cultural environment in which they live. They understand the agency of humans in conceiving and imagining possible futures through design. Collaboration, teamwork and communication are crucial skills needed to work in design teams and liaise with stakeholders. They learn the value of creativity and build resilience as they experience iterative design processes, where the best ideas may be the result of trial and error and a willingness to take risks and experiment with alternatives.</w:t>
      </w:r>
    </w:p>
    <w:p w:rsidR="00122C2C" w:rsidRPr="008C3C06" w:rsidRDefault="00122C2C" w:rsidP="008C3C06">
      <w:pPr>
        <w:pStyle w:val="BodyText"/>
      </w:pPr>
      <w:r>
        <w:t>S</w:t>
      </w:r>
      <w:r w:rsidRPr="00122C2C">
        <w:t xml:space="preserve">tudents learn about and experience design through exploring needs, wants and opportunities; developing ideas and design concepts; using drawing and low-fidelity prototyping skills; and evaluating ideas and design concepts. </w:t>
      </w:r>
      <w:r>
        <w:t xml:space="preserve">They </w:t>
      </w:r>
      <w:r w:rsidRPr="00122C2C">
        <w:t xml:space="preserve">communicate design proposals to suit different audiences. </w:t>
      </w:r>
    </w:p>
    <w:p w:rsidR="005B299D" w:rsidRDefault="005B299D" w:rsidP="006B1D17">
      <w:pPr>
        <w:pStyle w:val="Heading3"/>
        <w:spacing w:before="0"/>
      </w:pPr>
      <w:bookmarkStart w:id="189" w:name="_Toc16163565"/>
      <w:r>
        <w:t>Pathways</w:t>
      </w:r>
      <w:bookmarkEnd w:id="189"/>
    </w:p>
    <w:p w:rsidR="00FB1236" w:rsidRDefault="00FB1236" w:rsidP="008C3C06">
      <w:pPr>
        <w:pStyle w:val="BodyText"/>
        <w:spacing w:before="120"/>
        <w:rPr>
          <w:noProof/>
        </w:rPr>
      </w:pPr>
      <w:r w:rsidRPr="00FB1236">
        <w:rPr>
          <w:noProof/>
        </w:rPr>
        <w:t>A course of study in Design can establish a basis for further education and employment in the fields of architecture, digital media design, fashion design, graphic design, industrial design, interior design and landscape architecture.</w:t>
      </w:r>
      <w:r w:rsidDel="00FB1236">
        <w:rPr>
          <w:noProof/>
        </w:rPr>
        <w:t xml:space="preserve"> </w:t>
      </w:r>
    </w:p>
    <w:p w:rsidR="005B299D" w:rsidRDefault="005B299D" w:rsidP="005B299D">
      <w:pPr>
        <w:pStyle w:val="Heading3"/>
      </w:pPr>
      <w:bookmarkStart w:id="190" w:name="_Toc16163566"/>
      <w:r>
        <w:t>Objectives</w:t>
      </w:r>
      <w:bookmarkEnd w:id="190"/>
    </w:p>
    <w:p w:rsidR="00FB1236" w:rsidRDefault="00FB1236" w:rsidP="005B299D">
      <w:pPr>
        <w:pStyle w:val="BodyText"/>
        <w:spacing w:before="120"/>
        <w:rPr>
          <w:noProof/>
        </w:rPr>
      </w:pPr>
      <w:r w:rsidRPr="00FB1236">
        <w:rPr>
          <w:noProof/>
        </w:rPr>
        <w:t>By the conclusion of the course of study, students will:</w:t>
      </w:r>
    </w:p>
    <w:p w:rsidR="00FB1236" w:rsidRDefault="00FB1236" w:rsidP="008C3C06">
      <w:pPr>
        <w:pStyle w:val="ListBullet0"/>
        <w:rPr>
          <w:noProof/>
        </w:rPr>
      </w:pPr>
      <w:r>
        <w:rPr>
          <w:noProof/>
        </w:rPr>
        <w:t>describe design problems and design criteria</w:t>
      </w:r>
    </w:p>
    <w:p w:rsidR="00FB1236" w:rsidRDefault="00FB1236" w:rsidP="008C3C06">
      <w:pPr>
        <w:pStyle w:val="ListBullet0"/>
        <w:rPr>
          <w:noProof/>
        </w:rPr>
      </w:pPr>
      <w:r>
        <w:rPr>
          <w:noProof/>
        </w:rPr>
        <w:t>represent ideas, design concepts and design information using drawing and low-fidelity prototyping</w:t>
      </w:r>
    </w:p>
    <w:p w:rsidR="00FB1236" w:rsidRDefault="00FB1236" w:rsidP="008C3C06">
      <w:pPr>
        <w:pStyle w:val="ListBullet0"/>
        <w:rPr>
          <w:noProof/>
        </w:rPr>
      </w:pPr>
      <w:r>
        <w:rPr>
          <w:noProof/>
        </w:rPr>
        <w:t>analyse needs, wants and opportunities using data</w:t>
      </w:r>
    </w:p>
    <w:p w:rsidR="00FB1236" w:rsidRDefault="00FB1236" w:rsidP="008C3C06">
      <w:pPr>
        <w:pStyle w:val="ListBullet0"/>
        <w:rPr>
          <w:noProof/>
        </w:rPr>
      </w:pPr>
      <w:r>
        <w:rPr>
          <w:noProof/>
        </w:rPr>
        <w:t>devise ideas in response to design problems</w:t>
      </w:r>
    </w:p>
    <w:p w:rsidR="00FB1236" w:rsidRDefault="00FB1236" w:rsidP="008C3C06">
      <w:pPr>
        <w:pStyle w:val="ListBullet0"/>
        <w:rPr>
          <w:noProof/>
        </w:rPr>
      </w:pPr>
      <w:r>
        <w:rPr>
          <w:noProof/>
        </w:rPr>
        <w:t>synthesise ideas and design information to propose design concepts</w:t>
      </w:r>
    </w:p>
    <w:p w:rsidR="00FB1236" w:rsidRDefault="00FB1236" w:rsidP="008C3C06">
      <w:pPr>
        <w:pStyle w:val="ListBullet0"/>
        <w:rPr>
          <w:noProof/>
        </w:rPr>
      </w:pPr>
      <w:r>
        <w:rPr>
          <w:noProof/>
        </w:rPr>
        <w:t>evaluate ideas and design concepts to make refinements</w:t>
      </w:r>
    </w:p>
    <w:p w:rsidR="00FB1236" w:rsidRDefault="00FB1236" w:rsidP="008C3C06">
      <w:pPr>
        <w:pStyle w:val="ListBullet0"/>
        <w:sectPr w:rsidR="00FB1236" w:rsidSect="005F3A96">
          <w:type w:val="continuous"/>
          <w:pgSz w:w="11907" w:h="16840" w:code="9"/>
          <w:pgMar w:top="1134" w:right="1418" w:bottom="1701" w:left="1418" w:header="567" w:footer="284" w:gutter="0"/>
          <w:cols w:num="2" w:space="720"/>
          <w:formProt w:val="0"/>
          <w:noEndnote/>
          <w:docGrid w:linePitch="299"/>
        </w:sectPr>
      </w:pPr>
      <w:r>
        <w:rPr>
          <w:noProof/>
        </w:rPr>
        <w:t xml:space="preserve">make decisions about and use mode-appropriate features, language and conventions for particular purposes and </w:t>
      </w:r>
      <w:r w:rsidR="00122C2C">
        <w:rPr>
          <w:noProof/>
        </w:rPr>
        <w:t>contexts.</w:t>
      </w:r>
    </w:p>
    <w:p w:rsidR="00704A95" w:rsidRDefault="00704A95" w:rsidP="007B4907">
      <w:pPr>
        <w:pStyle w:val="Heading3"/>
        <w:spacing w:before="360"/>
      </w:pPr>
      <w:bookmarkStart w:id="191" w:name="_Toc16163567"/>
      <w:r>
        <w:t>Structure</w:t>
      </w:r>
      <w:bookmarkEnd w:id="191"/>
    </w:p>
    <w:tbl>
      <w:tblPr>
        <w:tblStyle w:val="QCAAtablestyle1"/>
        <w:tblW w:w="4900" w:type="pct"/>
        <w:tblLook w:val="04A0" w:firstRow="1" w:lastRow="0" w:firstColumn="1" w:lastColumn="0" w:noHBand="0" w:noVBand="1"/>
      </w:tblPr>
      <w:tblGrid>
        <w:gridCol w:w="2434"/>
        <w:gridCol w:w="2268"/>
        <w:gridCol w:w="1957"/>
        <w:gridCol w:w="2221"/>
      </w:tblGrid>
      <w:tr w:rsidR="00704A95" w:rsidTr="008C3C06">
        <w:trPr>
          <w:cnfStyle w:val="100000000000" w:firstRow="1" w:lastRow="0" w:firstColumn="0" w:lastColumn="0" w:oddVBand="0" w:evenVBand="0" w:oddHBand="0" w:evenHBand="0" w:firstRowFirstColumn="0" w:firstRowLastColumn="0" w:lastRowFirstColumn="0" w:lastRowLastColumn="0"/>
        </w:trPr>
        <w:tc>
          <w:tcPr>
            <w:tcW w:w="2434" w:type="dxa"/>
          </w:tcPr>
          <w:p w:rsidR="00704A95" w:rsidRPr="00FB1236" w:rsidRDefault="00704A95">
            <w:pPr>
              <w:pStyle w:val="Tableheading"/>
            </w:pPr>
            <w:r w:rsidRPr="00FB1236">
              <w:t>Unit 1</w:t>
            </w:r>
          </w:p>
        </w:tc>
        <w:tc>
          <w:tcPr>
            <w:tcW w:w="2268" w:type="dxa"/>
          </w:tcPr>
          <w:p w:rsidR="00704A95" w:rsidRPr="00FB1236" w:rsidRDefault="00704A95">
            <w:pPr>
              <w:pStyle w:val="Tableheading"/>
            </w:pPr>
            <w:r w:rsidRPr="00FB1236">
              <w:t>Unit 2</w:t>
            </w:r>
          </w:p>
        </w:tc>
        <w:tc>
          <w:tcPr>
            <w:tcW w:w="1957" w:type="dxa"/>
          </w:tcPr>
          <w:p w:rsidR="00704A95" w:rsidRPr="00FB1236" w:rsidRDefault="00704A95">
            <w:pPr>
              <w:pStyle w:val="Tableheading"/>
            </w:pPr>
            <w:r w:rsidRPr="00FB1236">
              <w:t>Unit 3</w:t>
            </w:r>
          </w:p>
        </w:tc>
        <w:tc>
          <w:tcPr>
            <w:tcW w:w="0" w:type="dxa"/>
          </w:tcPr>
          <w:p w:rsidR="00704A95" w:rsidRPr="00FB1236" w:rsidRDefault="00704A95">
            <w:pPr>
              <w:pStyle w:val="Tableheading"/>
            </w:pPr>
            <w:r w:rsidRPr="00FB1236">
              <w:t>Unit 4</w:t>
            </w:r>
          </w:p>
        </w:tc>
      </w:tr>
      <w:tr w:rsidR="00704A95" w:rsidTr="008C3C06">
        <w:tc>
          <w:tcPr>
            <w:tcW w:w="2434" w:type="dxa"/>
          </w:tcPr>
          <w:p w:rsidR="00FB1236" w:rsidRPr="008C3C06" w:rsidRDefault="00FB1236" w:rsidP="008C3C06">
            <w:pPr>
              <w:pStyle w:val="Tabletext"/>
              <w:rPr>
                <w:b/>
              </w:rPr>
            </w:pPr>
            <w:r w:rsidRPr="008C3C06">
              <w:rPr>
                <w:b/>
              </w:rPr>
              <w:t>Design in practice</w:t>
            </w:r>
          </w:p>
          <w:p w:rsidR="00FB1236" w:rsidRPr="00FB1236" w:rsidRDefault="00FB1236">
            <w:pPr>
              <w:pStyle w:val="TableBullet"/>
            </w:pPr>
            <w:r w:rsidRPr="00FB1236">
              <w:t>Experiencing design</w:t>
            </w:r>
          </w:p>
          <w:p w:rsidR="00FB1236" w:rsidRPr="00FB1236" w:rsidRDefault="00FB1236">
            <w:pPr>
              <w:pStyle w:val="TableBullet"/>
            </w:pPr>
            <w:r w:rsidRPr="00FB1236">
              <w:t>Design process</w:t>
            </w:r>
          </w:p>
          <w:p w:rsidR="00704A95" w:rsidRDefault="00FB1236" w:rsidP="008C3C06">
            <w:pPr>
              <w:pStyle w:val="TableBullet"/>
            </w:pPr>
            <w:r w:rsidRPr="00FB1236">
              <w:t>Design styles</w:t>
            </w:r>
          </w:p>
        </w:tc>
        <w:tc>
          <w:tcPr>
            <w:tcW w:w="2268" w:type="dxa"/>
          </w:tcPr>
          <w:p w:rsidR="00FB1236" w:rsidRPr="008C3C06" w:rsidRDefault="00FB1236" w:rsidP="008C3C06">
            <w:pPr>
              <w:pStyle w:val="Tabletext"/>
              <w:rPr>
                <w:b/>
              </w:rPr>
            </w:pPr>
            <w:r w:rsidRPr="008C3C06">
              <w:rPr>
                <w:b/>
              </w:rPr>
              <w:t>Commercial design</w:t>
            </w:r>
          </w:p>
          <w:p w:rsidR="00FB1236" w:rsidRPr="00FB1236" w:rsidRDefault="00FB1236">
            <w:pPr>
              <w:pStyle w:val="TableBullet"/>
            </w:pPr>
            <w:r w:rsidRPr="00FB1236">
              <w:t>Explore — client needs and wants</w:t>
            </w:r>
          </w:p>
          <w:p w:rsidR="00704A95" w:rsidRDefault="00FB1236" w:rsidP="008C3C06">
            <w:pPr>
              <w:pStyle w:val="TableBullet"/>
            </w:pPr>
            <w:r w:rsidRPr="00FB1236">
              <w:t>Develop — collaborative design</w:t>
            </w:r>
          </w:p>
        </w:tc>
        <w:tc>
          <w:tcPr>
            <w:tcW w:w="1957" w:type="dxa"/>
            <w:shd w:val="clear" w:color="auto" w:fill="auto"/>
          </w:tcPr>
          <w:p w:rsidR="00FB1236" w:rsidRPr="008C3C06" w:rsidRDefault="00FB1236" w:rsidP="008C3C06">
            <w:pPr>
              <w:pStyle w:val="Tabletext"/>
              <w:rPr>
                <w:b/>
              </w:rPr>
            </w:pPr>
            <w:r w:rsidRPr="008C3C06">
              <w:rPr>
                <w:b/>
              </w:rPr>
              <w:t>Human-centred design</w:t>
            </w:r>
          </w:p>
          <w:p w:rsidR="00704A95" w:rsidRDefault="00FB1236" w:rsidP="008C3C06">
            <w:pPr>
              <w:pStyle w:val="TableBullet"/>
            </w:pPr>
            <w:r>
              <w:t>Designing with empathy</w:t>
            </w:r>
          </w:p>
        </w:tc>
        <w:tc>
          <w:tcPr>
            <w:tcW w:w="2221" w:type="dxa"/>
            <w:shd w:val="clear" w:color="auto" w:fill="auto"/>
          </w:tcPr>
          <w:p w:rsidR="00FB1236" w:rsidRPr="008C3C06" w:rsidRDefault="00FB1236" w:rsidP="008C3C06">
            <w:pPr>
              <w:pStyle w:val="Tabletext"/>
              <w:rPr>
                <w:b/>
              </w:rPr>
            </w:pPr>
            <w:r w:rsidRPr="008C3C06">
              <w:rPr>
                <w:b/>
              </w:rPr>
              <w:t>Sustainable design</w:t>
            </w:r>
          </w:p>
          <w:p w:rsidR="00FB1236" w:rsidRDefault="00FB1236" w:rsidP="00FB1236">
            <w:pPr>
              <w:pStyle w:val="TableBullet"/>
            </w:pPr>
            <w:r>
              <w:t>Explore — sustainable design opportunities</w:t>
            </w:r>
          </w:p>
          <w:p w:rsidR="00704A95" w:rsidRDefault="00FB1236" w:rsidP="008C3C06">
            <w:pPr>
              <w:pStyle w:val="TableBullet"/>
            </w:pPr>
            <w:r>
              <w:t>Develop — redesign</w:t>
            </w:r>
          </w:p>
        </w:tc>
      </w:tr>
    </w:tbl>
    <w:p w:rsidR="00AC6C90" w:rsidRDefault="00AC6C90">
      <w:pPr>
        <w:rPr>
          <w:b/>
          <w:color w:val="6D6F71"/>
          <w:sz w:val="28"/>
          <w:szCs w:val="28"/>
        </w:rPr>
      </w:pPr>
      <w:r>
        <w:br w:type="page"/>
      </w:r>
    </w:p>
    <w:p w:rsidR="00704A95" w:rsidRDefault="00704A95" w:rsidP="00704A95">
      <w:pPr>
        <w:pStyle w:val="Heading3"/>
      </w:pPr>
      <w:bookmarkStart w:id="192" w:name="_Toc16163568"/>
      <w:r>
        <w:t>Assessment</w:t>
      </w:r>
      <w:bookmarkEnd w:id="192"/>
    </w:p>
    <w:p w:rsidR="00316849" w:rsidRDefault="00316849" w:rsidP="00316849">
      <w:pPr>
        <w:pStyle w:val="BodyText"/>
      </w:pPr>
      <w:r>
        <w:t>S</w:t>
      </w:r>
      <w:r w:rsidRPr="008C3C06">
        <w:t>chools devise assessment</w:t>
      </w:r>
      <w:r>
        <w:t>s</w:t>
      </w:r>
      <w:r w:rsidRPr="008C3C06">
        <w:t xml:space="preserve"> </w:t>
      </w:r>
      <w:r>
        <w:t>i</w:t>
      </w:r>
      <w:r w:rsidRPr="008C3C06">
        <w:t>n Units 1 and 2 to suit their local context.</w:t>
      </w:r>
      <w:r>
        <w:t xml:space="preserve"> </w:t>
      </w:r>
    </w:p>
    <w:p w:rsidR="00316849" w:rsidRDefault="00316849" w:rsidP="00316849">
      <w:pPr>
        <w:pStyle w:val="BodyText"/>
      </w:pPr>
      <w:r>
        <w:t>I</w:t>
      </w:r>
      <w:r w:rsidRPr="008C3C06">
        <w:t xml:space="preserve">n Units 3 and 4 </w:t>
      </w:r>
      <w:r>
        <w:t>s</w:t>
      </w:r>
      <w:r w:rsidRPr="008C3C06">
        <w:t>tudents complete four summative assessments</w:t>
      </w:r>
      <w:r>
        <w:t>. The results from each of the assessments are added together to provi</w:t>
      </w:r>
      <w:r w:rsidR="005D4945">
        <w:t xml:space="preserve">de a subject score out of 100. </w:t>
      </w:r>
      <w:r>
        <w:t>Students will also receive an overall subject result (A–E).</w:t>
      </w:r>
    </w:p>
    <w:p w:rsidR="000D2D7A" w:rsidRDefault="000D2D7A" w:rsidP="0017546C">
      <w:pPr>
        <w:pStyle w:val="Caption"/>
        <w:rPr>
          <w:noProof/>
        </w:rPr>
      </w:pPr>
      <w:r>
        <w:t>Summative assessments</w:t>
      </w:r>
    </w:p>
    <w:tbl>
      <w:tblPr>
        <w:tblStyle w:val="QCAAtablestyle1"/>
        <w:tblW w:w="4900" w:type="pct"/>
        <w:tblLayout w:type="fixed"/>
        <w:tblLook w:val="04A0" w:firstRow="1" w:lastRow="0" w:firstColumn="1" w:lastColumn="0" w:noHBand="0" w:noVBand="1"/>
      </w:tblPr>
      <w:tblGrid>
        <w:gridCol w:w="3945"/>
        <w:gridCol w:w="706"/>
        <w:gridCol w:w="3523"/>
        <w:gridCol w:w="706"/>
      </w:tblGrid>
      <w:tr w:rsidR="00AE4796" w:rsidTr="0023161D">
        <w:trPr>
          <w:cnfStyle w:val="100000000000" w:firstRow="1" w:lastRow="0" w:firstColumn="0" w:lastColumn="0" w:oddVBand="0" w:evenVBand="0" w:oddHBand="0" w:evenHBand="0" w:firstRowFirstColumn="0" w:firstRowLastColumn="0" w:lastRowFirstColumn="0" w:lastRowLastColumn="0"/>
        </w:trPr>
        <w:tc>
          <w:tcPr>
            <w:tcW w:w="4678" w:type="dxa"/>
            <w:gridSpan w:val="2"/>
          </w:tcPr>
          <w:p w:rsidR="00AE4796" w:rsidRDefault="00AE4796" w:rsidP="00FB1236">
            <w:pPr>
              <w:pStyle w:val="Tableheading"/>
            </w:pPr>
            <w:r>
              <w:t>Unit 3</w:t>
            </w:r>
          </w:p>
        </w:tc>
        <w:tc>
          <w:tcPr>
            <w:tcW w:w="4253" w:type="dxa"/>
            <w:gridSpan w:val="2"/>
          </w:tcPr>
          <w:p w:rsidR="00AE4796" w:rsidRDefault="00AE4796" w:rsidP="00FB1236">
            <w:pPr>
              <w:pStyle w:val="Tableheading"/>
            </w:pPr>
            <w:r>
              <w:t>Unit 4</w:t>
            </w:r>
          </w:p>
        </w:tc>
      </w:tr>
      <w:tr w:rsidR="00AE4796" w:rsidTr="0023161D">
        <w:tc>
          <w:tcPr>
            <w:tcW w:w="3969" w:type="dxa"/>
          </w:tcPr>
          <w:p w:rsidR="00AE4796" w:rsidRDefault="00AE4796" w:rsidP="00FB1236">
            <w:pPr>
              <w:pStyle w:val="Tabletext"/>
            </w:pPr>
            <w:r>
              <w:t xml:space="preserve">Summative internal assessment 1 (IA1): </w:t>
            </w:r>
          </w:p>
          <w:p w:rsidR="00AE4796" w:rsidRDefault="00AE4796" w:rsidP="00FB1236">
            <w:pPr>
              <w:pStyle w:val="TableBullet"/>
              <w:numPr>
                <w:ilvl w:val="0"/>
                <w:numId w:val="24"/>
              </w:numPr>
            </w:pPr>
            <w:r>
              <w:t>Examination — design challenge</w:t>
            </w:r>
          </w:p>
        </w:tc>
        <w:tc>
          <w:tcPr>
            <w:tcW w:w="709" w:type="dxa"/>
          </w:tcPr>
          <w:p w:rsidR="00AE4796" w:rsidRDefault="00AE4796" w:rsidP="00FB1236">
            <w:pPr>
              <w:pStyle w:val="Tabletext"/>
            </w:pPr>
            <w:r>
              <w:t>15%</w:t>
            </w:r>
          </w:p>
        </w:tc>
        <w:tc>
          <w:tcPr>
            <w:tcW w:w="3544" w:type="dxa"/>
          </w:tcPr>
          <w:p w:rsidR="00AE4796" w:rsidRDefault="00AE4796" w:rsidP="00FB1236">
            <w:pPr>
              <w:pStyle w:val="Tabletext"/>
            </w:pPr>
            <w:r>
              <w:t xml:space="preserve">Summative internal assessment 3 (IA3): </w:t>
            </w:r>
          </w:p>
          <w:p w:rsidR="00AE4796" w:rsidRDefault="00AE4796" w:rsidP="00FB1236">
            <w:pPr>
              <w:pStyle w:val="TableBullet"/>
              <w:numPr>
                <w:ilvl w:val="0"/>
                <w:numId w:val="24"/>
              </w:numPr>
            </w:pPr>
            <w:r>
              <w:t xml:space="preserve">Project </w:t>
            </w:r>
          </w:p>
        </w:tc>
        <w:tc>
          <w:tcPr>
            <w:tcW w:w="709" w:type="dxa"/>
          </w:tcPr>
          <w:p w:rsidR="00AE4796" w:rsidRDefault="00AE4796" w:rsidP="00FB1236">
            <w:pPr>
              <w:pStyle w:val="Tabletext"/>
            </w:pPr>
            <w:r>
              <w:t>25%</w:t>
            </w:r>
          </w:p>
        </w:tc>
      </w:tr>
      <w:tr w:rsidR="00AE4796" w:rsidTr="0023161D">
        <w:tc>
          <w:tcPr>
            <w:tcW w:w="3969" w:type="dxa"/>
          </w:tcPr>
          <w:p w:rsidR="00AE4796" w:rsidRDefault="00AE4796" w:rsidP="00FB1236">
            <w:pPr>
              <w:pStyle w:val="Tabletext"/>
            </w:pPr>
            <w:r>
              <w:t>Summativ</w:t>
            </w:r>
            <w:r w:rsidR="005D4945">
              <w:t xml:space="preserve">e internal assessment 2 (IA2): </w:t>
            </w:r>
          </w:p>
          <w:p w:rsidR="00AE4796" w:rsidRDefault="00AE4796" w:rsidP="00FB1236">
            <w:pPr>
              <w:pStyle w:val="TableBullet"/>
              <w:numPr>
                <w:ilvl w:val="0"/>
                <w:numId w:val="24"/>
              </w:numPr>
            </w:pPr>
            <w:r>
              <w:t xml:space="preserve">Project </w:t>
            </w:r>
          </w:p>
        </w:tc>
        <w:tc>
          <w:tcPr>
            <w:tcW w:w="709" w:type="dxa"/>
          </w:tcPr>
          <w:p w:rsidR="00AE4796" w:rsidRDefault="00AE4796" w:rsidP="00FB1236">
            <w:pPr>
              <w:pStyle w:val="Tabletext"/>
            </w:pPr>
            <w:r>
              <w:t>35%</w:t>
            </w:r>
          </w:p>
        </w:tc>
        <w:tc>
          <w:tcPr>
            <w:tcW w:w="3544" w:type="dxa"/>
          </w:tcPr>
          <w:p w:rsidR="00AE4796" w:rsidRDefault="00AE4796" w:rsidP="00FB1236">
            <w:pPr>
              <w:pStyle w:val="Tabletext"/>
            </w:pPr>
            <w:r>
              <w:t xml:space="preserve">Summative external assessment (EA): </w:t>
            </w:r>
          </w:p>
          <w:p w:rsidR="00AE4796" w:rsidRDefault="00AE4796" w:rsidP="00FB1236">
            <w:pPr>
              <w:pStyle w:val="TableBullet"/>
              <w:numPr>
                <w:ilvl w:val="0"/>
                <w:numId w:val="24"/>
              </w:numPr>
            </w:pPr>
            <w:r>
              <w:t>Examination — design challenge</w:t>
            </w:r>
          </w:p>
        </w:tc>
        <w:tc>
          <w:tcPr>
            <w:tcW w:w="709" w:type="dxa"/>
          </w:tcPr>
          <w:p w:rsidR="00AE4796" w:rsidRDefault="00AE4796" w:rsidP="00FB1236">
            <w:pPr>
              <w:pStyle w:val="Tabletext"/>
            </w:pPr>
            <w:r>
              <w:t>25%</w:t>
            </w:r>
          </w:p>
        </w:tc>
      </w:tr>
    </w:tbl>
    <w:p w:rsidR="00FB1236" w:rsidRDefault="00FB1236">
      <w:r>
        <w:br w:type="page"/>
      </w:r>
    </w:p>
    <w:tbl>
      <w:tblPr>
        <w:tblStyle w:val="TextLayout"/>
        <w:tblW w:w="5650" w:type="pct"/>
        <w:tblInd w:w="-170" w:type="dxa"/>
        <w:tblLayout w:type="fixed"/>
        <w:tblLook w:val="04A0" w:firstRow="1" w:lastRow="0" w:firstColumn="1" w:lastColumn="0" w:noHBand="0" w:noVBand="1"/>
      </w:tblPr>
      <w:tblGrid>
        <w:gridCol w:w="141"/>
        <w:gridCol w:w="9264"/>
        <w:gridCol w:w="845"/>
      </w:tblGrid>
      <w:tr w:rsidR="00160030" w:rsidRPr="003B6F39" w:rsidTr="002037BC">
        <w:trPr>
          <w:trHeight w:hRule="exact" w:val="851"/>
        </w:trPr>
        <w:tc>
          <w:tcPr>
            <w:tcW w:w="142" w:type="dxa"/>
            <w:shd w:val="clear" w:color="auto" w:fill="003378"/>
          </w:tcPr>
          <w:p w:rsidR="00160030" w:rsidRDefault="00160030" w:rsidP="002037BC">
            <w:pPr>
              <w:pStyle w:val="Tabletext"/>
            </w:pPr>
          </w:p>
        </w:tc>
        <w:tc>
          <w:tcPr>
            <w:tcW w:w="9323" w:type="dxa"/>
            <w:tcMar>
              <w:left w:w="57" w:type="dxa"/>
            </w:tcMar>
            <w:vAlign w:val="center"/>
          </w:tcPr>
          <w:p w:rsidR="00160030" w:rsidRDefault="00160030" w:rsidP="00CD2D5C">
            <w:pPr>
              <w:pStyle w:val="SubjectHeading"/>
            </w:pPr>
            <w:r>
              <w:t>Digital Solutions</w:t>
            </w:r>
          </w:p>
          <w:p w:rsidR="00160030" w:rsidRPr="00E86C01" w:rsidRDefault="00160030" w:rsidP="002037BC">
            <w:pPr>
              <w:pStyle w:val="Heading3"/>
              <w:spacing w:before="0" w:after="0"/>
            </w:pPr>
            <w:bookmarkStart w:id="193" w:name="_Toc16163569"/>
            <w:r>
              <w:t>General senior subject</w:t>
            </w:r>
            <w:bookmarkEnd w:id="193"/>
          </w:p>
        </w:tc>
        <w:tc>
          <w:tcPr>
            <w:tcW w:w="850" w:type="dxa"/>
            <w:shd w:val="clear" w:color="auto" w:fill="003378"/>
            <w:tcMar>
              <w:bottom w:w="28" w:type="dxa"/>
              <w:right w:w="57" w:type="dxa"/>
            </w:tcMar>
            <w:vAlign w:val="bottom"/>
          </w:tcPr>
          <w:p w:rsidR="00160030" w:rsidRPr="00BE0C34" w:rsidRDefault="00160030" w:rsidP="002037BC">
            <w:pPr>
              <w:pStyle w:val="Heading3"/>
              <w:spacing w:before="0" w:after="100" w:afterAutospacing="1"/>
              <w:jc w:val="right"/>
              <w:rPr>
                <w:color w:val="FFFFFF" w:themeColor="background1"/>
                <w:sz w:val="17"/>
                <w:szCs w:val="17"/>
              </w:rPr>
            </w:pPr>
            <w:bookmarkStart w:id="194" w:name="_Toc16163570"/>
            <w:r>
              <w:rPr>
                <w:color w:val="FFFFFF" w:themeColor="background1"/>
                <w:sz w:val="17"/>
                <w:szCs w:val="17"/>
              </w:rPr>
              <w:t>General</w:t>
            </w:r>
            <w:bookmarkEnd w:id="194"/>
          </w:p>
        </w:tc>
      </w:tr>
      <w:tr w:rsidR="004D730A" w:rsidRPr="003B6F39" w:rsidTr="00B36316">
        <w:trPr>
          <w:trHeight w:hRule="exact" w:val="113"/>
        </w:trPr>
        <w:tc>
          <w:tcPr>
            <w:tcW w:w="10315" w:type="dxa"/>
            <w:gridSpan w:val="3"/>
            <w:shd w:val="clear" w:color="auto" w:fill="auto"/>
          </w:tcPr>
          <w:p w:rsidR="004D730A" w:rsidRDefault="004D730A" w:rsidP="00B36316">
            <w:pPr>
              <w:pStyle w:val="Heading3"/>
              <w:spacing w:before="0" w:after="100" w:afterAutospacing="1"/>
              <w:rPr>
                <w:color w:val="FFFFFF" w:themeColor="background1"/>
                <w:sz w:val="17"/>
                <w:szCs w:val="17"/>
              </w:rPr>
            </w:pPr>
          </w:p>
        </w:tc>
      </w:tr>
    </w:tbl>
    <w:p w:rsidR="00704A95" w:rsidRDefault="00704A95" w:rsidP="00704A95">
      <w:pPr>
        <w:pStyle w:val="BodyText"/>
        <w:spacing w:before="120"/>
        <w:rPr>
          <w:noProof/>
        </w:rPr>
        <w:sectPr w:rsidR="00704A95" w:rsidSect="005F3A96">
          <w:type w:val="continuous"/>
          <w:pgSz w:w="11907" w:h="16840" w:code="9"/>
          <w:pgMar w:top="1134" w:right="1418" w:bottom="1701" w:left="1418" w:header="567" w:footer="284" w:gutter="0"/>
          <w:cols w:space="720"/>
          <w:formProt w:val="0"/>
          <w:noEndnote/>
          <w:docGrid w:linePitch="299"/>
        </w:sectPr>
      </w:pPr>
    </w:p>
    <w:p w:rsidR="00704A95" w:rsidRDefault="00704A95" w:rsidP="00704A95">
      <w:pPr>
        <w:pStyle w:val="BodyText"/>
        <w:spacing w:before="120"/>
        <w:rPr>
          <w:noProof/>
        </w:rPr>
      </w:pPr>
      <w:r w:rsidRPr="00CD51E6">
        <w:rPr>
          <w:noProof/>
        </w:rPr>
        <w:t>Digital Solutions</w:t>
      </w:r>
      <w:r>
        <w:rPr>
          <w:noProof/>
        </w:rPr>
        <w:t xml:space="preserve"> enables </w:t>
      </w:r>
      <w:r w:rsidRPr="00CD51E6">
        <w:rPr>
          <w:noProof/>
        </w:rPr>
        <w:t xml:space="preserve">students </w:t>
      </w:r>
      <w:r>
        <w:rPr>
          <w:noProof/>
        </w:rPr>
        <w:t xml:space="preserve">to </w:t>
      </w:r>
      <w:r w:rsidRPr="00CD51E6">
        <w:rPr>
          <w:noProof/>
        </w:rPr>
        <w:t xml:space="preserve">learn about algorithms, computer languages and user interfaces through generating digital solutions to problems. </w:t>
      </w:r>
      <w:r w:rsidR="008A6E96">
        <w:rPr>
          <w:noProof/>
        </w:rPr>
        <w:t>Students</w:t>
      </w:r>
      <w:r w:rsidRPr="00CD51E6">
        <w:rPr>
          <w:noProof/>
        </w:rPr>
        <w:t xml:space="preserve"> engage with data, information and applications to create digital solutions that filter and present data in timely and efficient ways while understanding the need to encrypt and protect data. They understand computing’s personal, local and global impact, and the issues associated with the ethical integration of technology into our daily lives.</w:t>
      </w:r>
    </w:p>
    <w:p w:rsidR="00704A95" w:rsidRDefault="00704A95" w:rsidP="00704A95">
      <w:pPr>
        <w:pStyle w:val="BodyText"/>
        <w:spacing w:before="120"/>
        <w:rPr>
          <w:noProof/>
        </w:rPr>
      </w:pPr>
      <w:r w:rsidRPr="00CD51E6">
        <w:rPr>
          <w:noProof/>
        </w:rPr>
        <w:t xml:space="preserve">Students </w:t>
      </w:r>
      <w:r w:rsidR="00A50120">
        <w:rPr>
          <w:noProof/>
        </w:rPr>
        <w:t xml:space="preserve">use problem-based learning to </w:t>
      </w:r>
      <w:r w:rsidRPr="00CD51E6">
        <w:rPr>
          <w:noProof/>
        </w:rPr>
        <w:t xml:space="preserve">write computer programs to create digital solutions that: use data; require interactions with users and within systems; and affect people, the economy and environments. </w:t>
      </w:r>
      <w:r w:rsidR="00953A7F">
        <w:rPr>
          <w:noProof/>
        </w:rPr>
        <w:t>They develop s</w:t>
      </w:r>
      <w:r w:rsidRPr="00CD51E6">
        <w:rPr>
          <w:noProof/>
        </w:rPr>
        <w:t xml:space="preserve">olutions using combinations of readily available hardware and software development environments, code libraries or specific instructions provided through programming. </w:t>
      </w:r>
    </w:p>
    <w:p w:rsidR="00704A95" w:rsidRDefault="00704A95" w:rsidP="00704A95">
      <w:pPr>
        <w:pStyle w:val="BodyText"/>
        <w:spacing w:before="120"/>
        <w:rPr>
          <w:noProof/>
        </w:rPr>
      </w:pPr>
      <w:r>
        <w:rPr>
          <w:noProof/>
        </w:rPr>
        <w:t>S</w:t>
      </w:r>
      <w:r w:rsidRPr="00CD51E6">
        <w:rPr>
          <w:noProof/>
        </w:rPr>
        <w:t xml:space="preserve">tudents create, construct and repurpose solutions that are relevant in a world where data and digital realms are transforming entertainment, education, business, manufacturing and many other industries. </w:t>
      </w:r>
    </w:p>
    <w:p w:rsidR="00704A95" w:rsidRDefault="00704A95" w:rsidP="00704A95">
      <w:pPr>
        <w:pStyle w:val="Heading3"/>
      </w:pPr>
      <w:bookmarkStart w:id="195" w:name="_Toc16163571"/>
      <w:r w:rsidRPr="000C1C9A">
        <w:t>Pathways</w:t>
      </w:r>
      <w:bookmarkEnd w:id="195"/>
    </w:p>
    <w:p w:rsidR="00704A95" w:rsidRDefault="00704A95" w:rsidP="00704A95">
      <w:pPr>
        <w:pStyle w:val="BodyText"/>
        <w:spacing w:before="120"/>
        <w:rPr>
          <w:noProof/>
        </w:rPr>
      </w:pPr>
      <w:r w:rsidRPr="00CD51E6">
        <w:rPr>
          <w:noProof/>
        </w:rPr>
        <w:t>A course of study in Digital Solutions can establish a basis for further education and employment in the fields of science, technologies, engineering and mathematics.</w:t>
      </w:r>
    </w:p>
    <w:p w:rsidR="00704A95" w:rsidRDefault="00704A95" w:rsidP="007B4907">
      <w:pPr>
        <w:pStyle w:val="Heading3"/>
        <w:spacing w:before="120"/>
      </w:pPr>
      <w:bookmarkStart w:id="196" w:name="_Toc16163572"/>
      <w:r>
        <w:t>Objectives</w:t>
      </w:r>
      <w:bookmarkEnd w:id="196"/>
    </w:p>
    <w:p w:rsidR="00704A95" w:rsidRDefault="00704A95" w:rsidP="00704A95">
      <w:pPr>
        <w:pStyle w:val="BodyText"/>
        <w:spacing w:before="120"/>
        <w:rPr>
          <w:noProof/>
        </w:rPr>
      </w:pPr>
      <w:r w:rsidRPr="00E877C6">
        <w:rPr>
          <w:noProof/>
        </w:rPr>
        <w:t>By the conclusion of the course of study, students will:</w:t>
      </w:r>
    </w:p>
    <w:p w:rsidR="00704A95" w:rsidRDefault="00704A95" w:rsidP="00704A95">
      <w:pPr>
        <w:pStyle w:val="ListBullet0"/>
        <w:rPr>
          <w:noProof/>
        </w:rPr>
      </w:pPr>
      <w:r>
        <w:rPr>
          <w:noProof/>
        </w:rPr>
        <w:t xml:space="preserve">recognise and describe elements, components, principles and processes </w:t>
      </w:r>
    </w:p>
    <w:p w:rsidR="00704A95" w:rsidRDefault="00704A95" w:rsidP="00704A95">
      <w:pPr>
        <w:pStyle w:val="ListBullet0"/>
        <w:rPr>
          <w:noProof/>
        </w:rPr>
      </w:pPr>
      <w:r>
        <w:rPr>
          <w:noProof/>
        </w:rPr>
        <w:t>symbolise and explain information, ideas and interrelationships</w:t>
      </w:r>
    </w:p>
    <w:p w:rsidR="00704A95" w:rsidRDefault="00704A95" w:rsidP="00704A95">
      <w:pPr>
        <w:pStyle w:val="ListBullet0"/>
        <w:rPr>
          <w:noProof/>
        </w:rPr>
      </w:pPr>
      <w:r>
        <w:rPr>
          <w:noProof/>
        </w:rPr>
        <w:t>analyse problems and information</w:t>
      </w:r>
    </w:p>
    <w:p w:rsidR="00704A95" w:rsidRDefault="00704A95" w:rsidP="00704A95">
      <w:pPr>
        <w:pStyle w:val="ListBullet0"/>
        <w:rPr>
          <w:noProof/>
        </w:rPr>
      </w:pPr>
      <w:r>
        <w:rPr>
          <w:noProof/>
        </w:rPr>
        <w:t>determine solution requirements and criteria</w:t>
      </w:r>
    </w:p>
    <w:p w:rsidR="00704A95" w:rsidRDefault="00704A95" w:rsidP="00704A95">
      <w:pPr>
        <w:pStyle w:val="ListBullet0"/>
        <w:rPr>
          <w:noProof/>
        </w:rPr>
      </w:pPr>
      <w:r>
        <w:rPr>
          <w:noProof/>
        </w:rPr>
        <w:t>synthesise information and ideas to determine possible digital solutions</w:t>
      </w:r>
    </w:p>
    <w:p w:rsidR="00704A95" w:rsidRDefault="00704A95" w:rsidP="00704A95">
      <w:pPr>
        <w:pStyle w:val="ListBullet0"/>
        <w:rPr>
          <w:noProof/>
        </w:rPr>
      </w:pPr>
      <w:r>
        <w:rPr>
          <w:noProof/>
        </w:rPr>
        <w:t>generate components of the digital solution</w:t>
      </w:r>
    </w:p>
    <w:p w:rsidR="00704A95" w:rsidRDefault="00704A95" w:rsidP="00704A95">
      <w:pPr>
        <w:pStyle w:val="ListBullet0"/>
        <w:rPr>
          <w:noProof/>
        </w:rPr>
      </w:pPr>
      <w:r>
        <w:rPr>
          <w:noProof/>
        </w:rPr>
        <w:t>evaluate impacts, components and solutions against criteria to make refinements and justified recommendations</w:t>
      </w:r>
    </w:p>
    <w:p w:rsidR="00704A95" w:rsidRDefault="00704A95" w:rsidP="00704A95">
      <w:pPr>
        <w:pStyle w:val="ListBullet0"/>
        <w:rPr>
          <w:noProof/>
        </w:rPr>
      </w:pPr>
      <w:r>
        <w:rPr>
          <w:noProof/>
        </w:rPr>
        <w:t>make decisions about and use mode-appropriate features, language and conventions for particular purposes and contexts.</w:t>
      </w:r>
    </w:p>
    <w:p w:rsidR="00704A95" w:rsidRDefault="00704A95" w:rsidP="00704A95">
      <w:pPr>
        <w:pStyle w:val="Heading3"/>
      </w:pPr>
    </w:p>
    <w:p w:rsidR="007B4907" w:rsidRDefault="007B4907" w:rsidP="007B4907">
      <w:pPr>
        <w:pStyle w:val="BodyText"/>
      </w:pPr>
    </w:p>
    <w:p w:rsidR="007B4907" w:rsidRDefault="007B4907" w:rsidP="007B4907">
      <w:pPr>
        <w:pStyle w:val="BodyText"/>
      </w:pPr>
    </w:p>
    <w:p w:rsidR="007B4907" w:rsidRPr="007B4907" w:rsidRDefault="007B4907" w:rsidP="007B4907">
      <w:pPr>
        <w:pStyle w:val="BodyText"/>
        <w:sectPr w:rsidR="007B4907" w:rsidRPr="007B4907" w:rsidSect="005F3A96">
          <w:type w:val="continuous"/>
          <w:pgSz w:w="11907" w:h="16840" w:code="9"/>
          <w:pgMar w:top="1134" w:right="1418" w:bottom="1701" w:left="1418" w:header="567" w:footer="284" w:gutter="0"/>
          <w:cols w:num="2" w:space="720"/>
          <w:formProt w:val="0"/>
          <w:noEndnote/>
          <w:docGrid w:linePitch="299"/>
        </w:sectPr>
      </w:pPr>
    </w:p>
    <w:p w:rsidR="007B4907" w:rsidRDefault="007B4907" w:rsidP="007B4907">
      <w:r>
        <w:br w:type="page"/>
      </w:r>
    </w:p>
    <w:p w:rsidR="00704A95" w:rsidRDefault="00704A95" w:rsidP="006B1D17">
      <w:pPr>
        <w:pStyle w:val="Heading3"/>
        <w:spacing w:before="480"/>
      </w:pPr>
      <w:bookmarkStart w:id="197" w:name="_Toc16163573"/>
      <w:r>
        <w:t>Structure</w:t>
      </w:r>
      <w:bookmarkEnd w:id="197"/>
    </w:p>
    <w:tbl>
      <w:tblPr>
        <w:tblStyle w:val="QCAAtablestyle1"/>
        <w:tblW w:w="4900" w:type="pct"/>
        <w:tblLook w:val="04A0" w:firstRow="1" w:lastRow="0" w:firstColumn="1" w:lastColumn="0" w:noHBand="0" w:noVBand="1"/>
      </w:tblPr>
      <w:tblGrid>
        <w:gridCol w:w="2219"/>
        <w:gridCol w:w="2220"/>
        <w:gridCol w:w="2220"/>
        <w:gridCol w:w="2221"/>
      </w:tblGrid>
      <w:tr w:rsidR="00704A95" w:rsidTr="00704A95">
        <w:trPr>
          <w:cnfStyle w:val="100000000000" w:firstRow="1" w:lastRow="0" w:firstColumn="0" w:lastColumn="0" w:oddVBand="0" w:evenVBand="0" w:oddHBand="0" w:evenHBand="0" w:firstRowFirstColumn="0" w:firstRowLastColumn="0" w:lastRowFirstColumn="0" w:lastRowLastColumn="0"/>
        </w:trPr>
        <w:tc>
          <w:tcPr>
            <w:tcW w:w="2219" w:type="dxa"/>
          </w:tcPr>
          <w:p w:rsidR="00704A95" w:rsidRDefault="00704A95" w:rsidP="00D45578">
            <w:pPr>
              <w:pStyle w:val="TableHeading0"/>
            </w:pPr>
            <w:r>
              <w:t>Unit 1</w:t>
            </w:r>
          </w:p>
        </w:tc>
        <w:tc>
          <w:tcPr>
            <w:tcW w:w="2220" w:type="dxa"/>
          </w:tcPr>
          <w:p w:rsidR="00704A95" w:rsidRDefault="00704A95" w:rsidP="00D45578">
            <w:pPr>
              <w:pStyle w:val="TableHeading0"/>
            </w:pPr>
            <w:r>
              <w:t>Unit 2</w:t>
            </w:r>
          </w:p>
        </w:tc>
        <w:tc>
          <w:tcPr>
            <w:tcW w:w="2220" w:type="dxa"/>
          </w:tcPr>
          <w:p w:rsidR="00704A95" w:rsidRDefault="00704A95" w:rsidP="00D45578">
            <w:pPr>
              <w:pStyle w:val="TableHeading0"/>
            </w:pPr>
            <w:r>
              <w:t>Unit 3</w:t>
            </w:r>
          </w:p>
        </w:tc>
        <w:tc>
          <w:tcPr>
            <w:tcW w:w="2221" w:type="dxa"/>
          </w:tcPr>
          <w:p w:rsidR="00704A95" w:rsidRDefault="00704A95" w:rsidP="00D45578">
            <w:pPr>
              <w:pStyle w:val="TableHeading0"/>
            </w:pPr>
            <w:r>
              <w:t>Unit 4</w:t>
            </w:r>
          </w:p>
        </w:tc>
      </w:tr>
      <w:tr w:rsidR="00704A95" w:rsidTr="00704A95">
        <w:tc>
          <w:tcPr>
            <w:tcW w:w="0" w:type="dxa"/>
          </w:tcPr>
          <w:p w:rsidR="00704A95" w:rsidRPr="004C06EC" w:rsidRDefault="00704A95" w:rsidP="00704A95">
            <w:pPr>
              <w:pStyle w:val="TableText0"/>
              <w:rPr>
                <w:b/>
              </w:rPr>
            </w:pPr>
            <w:r w:rsidRPr="004C06EC">
              <w:rPr>
                <w:b/>
              </w:rPr>
              <w:t>Creating with code</w:t>
            </w:r>
          </w:p>
          <w:p w:rsidR="00704A95" w:rsidRDefault="00704A95" w:rsidP="00704A95">
            <w:pPr>
              <w:pStyle w:val="TableBullet"/>
              <w:numPr>
                <w:ilvl w:val="0"/>
                <w:numId w:val="24"/>
              </w:numPr>
            </w:pPr>
            <w:r>
              <w:t>Understanding digital problems</w:t>
            </w:r>
          </w:p>
          <w:p w:rsidR="00704A95" w:rsidRDefault="00704A95" w:rsidP="00704A95">
            <w:pPr>
              <w:pStyle w:val="TableBullet"/>
              <w:numPr>
                <w:ilvl w:val="0"/>
                <w:numId w:val="24"/>
              </w:numPr>
            </w:pPr>
            <w:r>
              <w:t>User experiences and interfaces</w:t>
            </w:r>
          </w:p>
          <w:p w:rsidR="00704A95" w:rsidRDefault="00704A95" w:rsidP="00704A95">
            <w:pPr>
              <w:pStyle w:val="TableBullet"/>
              <w:numPr>
                <w:ilvl w:val="0"/>
                <w:numId w:val="24"/>
              </w:numPr>
            </w:pPr>
            <w:r>
              <w:t>Algorithms and programming techniques</w:t>
            </w:r>
          </w:p>
          <w:p w:rsidR="00704A95" w:rsidRDefault="00704A95" w:rsidP="00704A95">
            <w:pPr>
              <w:pStyle w:val="TableBullet"/>
              <w:numPr>
                <w:ilvl w:val="0"/>
                <w:numId w:val="24"/>
              </w:numPr>
            </w:pPr>
            <w:r>
              <w:t>Programmed solutions</w:t>
            </w:r>
          </w:p>
        </w:tc>
        <w:tc>
          <w:tcPr>
            <w:tcW w:w="0" w:type="dxa"/>
          </w:tcPr>
          <w:p w:rsidR="00704A95" w:rsidRPr="004C06EC" w:rsidRDefault="00704A95" w:rsidP="00704A95">
            <w:pPr>
              <w:pStyle w:val="TableText0"/>
              <w:rPr>
                <w:b/>
              </w:rPr>
            </w:pPr>
            <w:r w:rsidRPr="004C06EC">
              <w:rPr>
                <w:b/>
              </w:rPr>
              <w:t>Application and data solutions</w:t>
            </w:r>
          </w:p>
          <w:p w:rsidR="00704A95" w:rsidRDefault="00704A95" w:rsidP="00704A95">
            <w:pPr>
              <w:pStyle w:val="TableBullet"/>
              <w:numPr>
                <w:ilvl w:val="0"/>
                <w:numId w:val="24"/>
              </w:numPr>
            </w:pPr>
            <w:r>
              <w:t xml:space="preserve">Data-driven problems and solution requirements </w:t>
            </w:r>
          </w:p>
          <w:p w:rsidR="00704A95" w:rsidRDefault="00704A95" w:rsidP="00704A95">
            <w:pPr>
              <w:pStyle w:val="TableBullet"/>
              <w:numPr>
                <w:ilvl w:val="0"/>
                <w:numId w:val="24"/>
              </w:numPr>
            </w:pPr>
            <w:r>
              <w:t xml:space="preserve">Data and programming techniques </w:t>
            </w:r>
          </w:p>
          <w:p w:rsidR="00704A95" w:rsidRDefault="00704A95" w:rsidP="00704A95">
            <w:pPr>
              <w:pStyle w:val="TableBullet"/>
              <w:numPr>
                <w:ilvl w:val="0"/>
                <w:numId w:val="24"/>
              </w:numPr>
            </w:pPr>
            <w:r>
              <w:t>Prototype data solutions</w:t>
            </w:r>
          </w:p>
        </w:tc>
        <w:tc>
          <w:tcPr>
            <w:tcW w:w="0" w:type="dxa"/>
            <w:shd w:val="clear" w:color="auto" w:fill="auto"/>
          </w:tcPr>
          <w:p w:rsidR="00704A95" w:rsidRDefault="00704A95" w:rsidP="00704A95">
            <w:pPr>
              <w:pStyle w:val="TableText0"/>
            </w:pPr>
            <w:r w:rsidRPr="004C06EC">
              <w:rPr>
                <w:b/>
              </w:rPr>
              <w:t>Digital innovation</w:t>
            </w:r>
          </w:p>
          <w:p w:rsidR="00704A95" w:rsidRDefault="00704A95" w:rsidP="00704A95">
            <w:pPr>
              <w:pStyle w:val="TableBullet"/>
              <w:numPr>
                <w:ilvl w:val="0"/>
                <w:numId w:val="24"/>
              </w:numPr>
            </w:pPr>
            <w:r>
              <w:t>Interactions between users, data and digital systems</w:t>
            </w:r>
          </w:p>
          <w:p w:rsidR="00704A95" w:rsidRDefault="00704A95" w:rsidP="00704A95">
            <w:pPr>
              <w:pStyle w:val="TableBullet"/>
              <w:numPr>
                <w:ilvl w:val="0"/>
                <w:numId w:val="24"/>
              </w:numPr>
            </w:pPr>
            <w:r>
              <w:t>Real-world problems and solution requirements</w:t>
            </w:r>
          </w:p>
          <w:p w:rsidR="00704A95" w:rsidRDefault="00704A95" w:rsidP="00704A95">
            <w:pPr>
              <w:pStyle w:val="TableBullet"/>
              <w:numPr>
                <w:ilvl w:val="0"/>
                <w:numId w:val="24"/>
              </w:numPr>
            </w:pPr>
            <w:r>
              <w:t>Innovative digital solutions</w:t>
            </w:r>
          </w:p>
        </w:tc>
        <w:tc>
          <w:tcPr>
            <w:tcW w:w="0" w:type="dxa"/>
            <w:shd w:val="clear" w:color="auto" w:fill="auto"/>
          </w:tcPr>
          <w:p w:rsidR="00704A95" w:rsidRPr="004C06EC" w:rsidRDefault="00704A95" w:rsidP="00704A95">
            <w:pPr>
              <w:pStyle w:val="TableText0"/>
              <w:rPr>
                <w:b/>
              </w:rPr>
            </w:pPr>
            <w:r w:rsidRPr="004C06EC">
              <w:rPr>
                <w:b/>
              </w:rPr>
              <w:t>Digital impacts</w:t>
            </w:r>
          </w:p>
          <w:p w:rsidR="00704A95" w:rsidRDefault="00704A95" w:rsidP="00704A95">
            <w:pPr>
              <w:pStyle w:val="TableBullet"/>
              <w:numPr>
                <w:ilvl w:val="0"/>
                <w:numId w:val="24"/>
              </w:numPr>
            </w:pPr>
            <w:r>
              <w:t>Digital methods for exchanging data</w:t>
            </w:r>
          </w:p>
          <w:p w:rsidR="00704A95" w:rsidRDefault="00704A95" w:rsidP="00704A95">
            <w:pPr>
              <w:pStyle w:val="TableBullet"/>
              <w:numPr>
                <w:ilvl w:val="0"/>
                <w:numId w:val="24"/>
              </w:numPr>
            </w:pPr>
            <w:r>
              <w:t>Complex digital data exchange problems and solution requirements</w:t>
            </w:r>
          </w:p>
          <w:p w:rsidR="00704A95" w:rsidRDefault="00704A95" w:rsidP="00704A95">
            <w:pPr>
              <w:pStyle w:val="TableBullet"/>
              <w:numPr>
                <w:ilvl w:val="0"/>
                <w:numId w:val="24"/>
              </w:numPr>
            </w:pPr>
            <w:r>
              <w:t>Prototype digital data exchanges</w:t>
            </w:r>
          </w:p>
        </w:tc>
      </w:tr>
    </w:tbl>
    <w:p w:rsidR="00704A95" w:rsidRDefault="00704A95" w:rsidP="00704A95">
      <w:pPr>
        <w:pStyle w:val="Heading3"/>
      </w:pPr>
      <w:bookmarkStart w:id="198" w:name="_Toc16163574"/>
      <w:r>
        <w:t>Assessment</w:t>
      </w:r>
      <w:bookmarkEnd w:id="198"/>
    </w:p>
    <w:p w:rsidR="00316849" w:rsidRDefault="00316849" w:rsidP="00316849">
      <w:pPr>
        <w:pStyle w:val="BodyText"/>
      </w:pPr>
      <w:bookmarkStart w:id="199" w:name="_Hlk493584644"/>
      <w:r>
        <w:t>S</w:t>
      </w:r>
      <w:r w:rsidRPr="008C3C06">
        <w:t>chools devise assessment</w:t>
      </w:r>
      <w:r>
        <w:t>s</w:t>
      </w:r>
      <w:r w:rsidRPr="008C3C06">
        <w:t xml:space="preserve"> </w:t>
      </w:r>
      <w:r>
        <w:t>i</w:t>
      </w:r>
      <w:r w:rsidRPr="008C3C06">
        <w:t>n Units 1 and 2 to suit their local context.</w:t>
      </w:r>
      <w:r>
        <w:t xml:space="preserve"> </w:t>
      </w:r>
    </w:p>
    <w:p w:rsidR="00316849" w:rsidRDefault="00316849" w:rsidP="00316849">
      <w:pPr>
        <w:pStyle w:val="BodyText"/>
      </w:pPr>
      <w:r>
        <w:t>I</w:t>
      </w:r>
      <w:r w:rsidRPr="008C3C06">
        <w:t xml:space="preserve">n Units 3 and 4 </w:t>
      </w:r>
      <w:r>
        <w:t>s</w:t>
      </w:r>
      <w:r w:rsidRPr="008C3C06">
        <w:t>tudents complete four summative assessments</w:t>
      </w:r>
      <w:r>
        <w:t>. The results from each of the assessments are added together to provi</w:t>
      </w:r>
      <w:r w:rsidR="002D78A2">
        <w:t xml:space="preserve">de a subject score out of 100. </w:t>
      </w:r>
      <w:r>
        <w:t>Students will also receive an overall subject result (A–E).</w:t>
      </w:r>
    </w:p>
    <w:p w:rsidR="000D2D7A" w:rsidRDefault="000D2D7A" w:rsidP="0017546C">
      <w:pPr>
        <w:pStyle w:val="Caption"/>
        <w:rPr>
          <w:noProof/>
        </w:rPr>
      </w:pPr>
      <w:r>
        <w:t>Summative assessments</w:t>
      </w:r>
    </w:p>
    <w:tbl>
      <w:tblPr>
        <w:tblStyle w:val="QCAAtablestyle1"/>
        <w:tblW w:w="4900" w:type="pct"/>
        <w:tblLayout w:type="fixed"/>
        <w:tblLook w:val="04A0" w:firstRow="1" w:lastRow="0" w:firstColumn="1" w:lastColumn="0" w:noHBand="0" w:noVBand="1"/>
      </w:tblPr>
      <w:tblGrid>
        <w:gridCol w:w="3818"/>
        <w:gridCol w:w="690"/>
        <w:gridCol w:w="3682"/>
        <w:gridCol w:w="690"/>
      </w:tblGrid>
      <w:tr w:rsidR="000477FE" w:rsidTr="00F13D7C">
        <w:trPr>
          <w:cnfStyle w:val="100000000000" w:firstRow="1" w:lastRow="0" w:firstColumn="0" w:lastColumn="0" w:oddVBand="0" w:evenVBand="0" w:oddHBand="0" w:evenHBand="0" w:firstRowFirstColumn="0" w:firstRowLastColumn="0" w:lastRowFirstColumn="0" w:lastRowLastColumn="0"/>
        </w:trPr>
        <w:tc>
          <w:tcPr>
            <w:tcW w:w="4678" w:type="dxa"/>
            <w:gridSpan w:val="2"/>
          </w:tcPr>
          <w:p w:rsidR="000477FE" w:rsidRDefault="000477FE" w:rsidP="00704A95">
            <w:pPr>
              <w:pStyle w:val="Tableheading"/>
            </w:pPr>
            <w:r>
              <w:t>Unit 3</w:t>
            </w:r>
          </w:p>
        </w:tc>
        <w:tc>
          <w:tcPr>
            <w:tcW w:w="4536" w:type="dxa"/>
            <w:gridSpan w:val="2"/>
          </w:tcPr>
          <w:p w:rsidR="000477FE" w:rsidRDefault="000477FE" w:rsidP="00704A95">
            <w:pPr>
              <w:pStyle w:val="Tableheading"/>
            </w:pPr>
            <w:r>
              <w:t>Unit 4</w:t>
            </w:r>
          </w:p>
        </w:tc>
      </w:tr>
      <w:tr w:rsidR="000477FE" w:rsidTr="00F13D7C">
        <w:tc>
          <w:tcPr>
            <w:tcW w:w="3969" w:type="dxa"/>
          </w:tcPr>
          <w:p w:rsidR="000477FE" w:rsidRDefault="000477FE" w:rsidP="00704A95">
            <w:pPr>
              <w:pStyle w:val="Tabletext"/>
            </w:pPr>
            <w:r>
              <w:t xml:space="preserve">Summative internal assessment 1 (IA1): </w:t>
            </w:r>
          </w:p>
          <w:p w:rsidR="000477FE" w:rsidRDefault="000477FE" w:rsidP="00704A95">
            <w:pPr>
              <w:pStyle w:val="TableBullet"/>
              <w:numPr>
                <w:ilvl w:val="0"/>
                <w:numId w:val="24"/>
              </w:numPr>
            </w:pPr>
            <w:r>
              <w:t>Investigation — technical proposal</w:t>
            </w:r>
          </w:p>
        </w:tc>
        <w:tc>
          <w:tcPr>
            <w:tcW w:w="709" w:type="dxa"/>
          </w:tcPr>
          <w:p w:rsidR="000477FE" w:rsidRDefault="000477FE" w:rsidP="00704A95">
            <w:pPr>
              <w:pStyle w:val="Tabletext"/>
            </w:pPr>
            <w:r>
              <w:t>20%</w:t>
            </w:r>
          </w:p>
        </w:tc>
        <w:tc>
          <w:tcPr>
            <w:tcW w:w="3827" w:type="dxa"/>
          </w:tcPr>
          <w:p w:rsidR="000477FE" w:rsidRDefault="000477FE" w:rsidP="00704A95">
            <w:pPr>
              <w:pStyle w:val="Tabletext"/>
            </w:pPr>
            <w:r>
              <w:t xml:space="preserve">Summative internal assessment 3 (IA3): </w:t>
            </w:r>
          </w:p>
          <w:p w:rsidR="000477FE" w:rsidRDefault="000477FE" w:rsidP="00704A95">
            <w:pPr>
              <w:pStyle w:val="TableBullet"/>
              <w:numPr>
                <w:ilvl w:val="0"/>
                <w:numId w:val="24"/>
              </w:numPr>
            </w:pPr>
            <w:r>
              <w:t>Project — folio</w:t>
            </w:r>
          </w:p>
        </w:tc>
        <w:tc>
          <w:tcPr>
            <w:tcW w:w="709" w:type="dxa"/>
          </w:tcPr>
          <w:p w:rsidR="000477FE" w:rsidRDefault="000477FE" w:rsidP="00704A95">
            <w:pPr>
              <w:pStyle w:val="Tabletext"/>
            </w:pPr>
            <w:r>
              <w:t>25%</w:t>
            </w:r>
          </w:p>
        </w:tc>
      </w:tr>
      <w:tr w:rsidR="000477FE" w:rsidTr="00F13D7C">
        <w:tc>
          <w:tcPr>
            <w:tcW w:w="3969" w:type="dxa"/>
          </w:tcPr>
          <w:p w:rsidR="000477FE" w:rsidRDefault="000477FE" w:rsidP="00704A95">
            <w:pPr>
              <w:pStyle w:val="Tabletext"/>
            </w:pPr>
            <w:r>
              <w:t>Summativ</w:t>
            </w:r>
            <w:r w:rsidR="002D78A2">
              <w:t xml:space="preserve">e internal assessment 2 (IA2): </w:t>
            </w:r>
          </w:p>
          <w:p w:rsidR="000477FE" w:rsidRDefault="000477FE" w:rsidP="00704A95">
            <w:pPr>
              <w:pStyle w:val="TableBullet"/>
              <w:numPr>
                <w:ilvl w:val="0"/>
                <w:numId w:val="24"/>
              </w:numPr>
            </w:pPr>
            <w:r>
              <w:t>Project — digital solution</w:t>
            </w:r>
          </w:p>
        </w:tc>
        <w:tc>
          <w:tcPr>
            <w:tcW w:w="709" w:type="dxa"/>
          </w:tcPr>
          <w:p w:rsidR="000477FE" w:rsidRDefault="000477FE" w:rsidP="00704A95">
            <w:pPr>
              <w:pStyle w:val="Tabletext"/>
            </w:pPr>
            <w:r>
              <w:t>30%</w:t>
            </w:r>
          </w:p>
        </w:tc>
        <w:tc>
          <w:tcPr>
            <w:tcW w:w="3827" w:type="dxa"/>
          </w:tcPr>
          <w:p w:rsidR="000477FE" w:rsidRDefault="000477FE" w:rsidP="00704A95">
            <w:pPr>
              <w:pStyle w:val="Tabletext"/>
            </w:pPr>
            <w:r>
              <w:t xml:space="preserve">Summative external assessment (EA): </w:t>
            </w:r>
          </w:p>
          <w:p w:rsidR="000477FE" w:rsidRDefault="000477FE" w:rsidP="00704A95">
            <w:pPr>
              <w:pStyle w:val="TableBullet"/>
              <w:numPr>
                <w:ilvl w:val="0"/>
                <w:numId w:val="24"/>
              </w:numPr>
            </w:pPr>
            <w:r>
              <w:t xml:space="preserve">Examination </w:t>
            </w:r>
          </w:p>
        </w:tc>
        <w:tc>
          <w:tcPr>
            <w:tcW w:w="709" w:type="dxa"/>
          </w:tcPr>
          <w:p w:rsidR="000477FE" w:rsidRDefault="000477FE" w:rsidP="00704A95">
            <w:pPr>
              <w:pStyle w:val="Tabletext"/>
            </w:pPr>
            <w:r>
              <w:t>25%</w:t>
            </w:r>
          </w:p>
        </w:tc>
      </w:tr>
      <w:bookmarkEnd w:id="199"/>
    </w:tbl>
    <w:p w:rsidR="00704A95" w:rsidRDefault="00704A95" w:rsidP="00704A95"/>
    <w:p w:rsidR="005B299D" w:rsidRDefault="005B299D" w:rsidP="005B299D">
      <w:r>
        <w:br w:type="page"/>
      </w:r>
    </w:p>
    <w:p w:rsidR="007A481C" w:rsidRDefault="007A481C">
      <w:bookmarkStart w:id="200" w:name="_Hlk492985831"/>
    </w:p>
    <w:bookmarkEnd w:id="200"/>
    <w:tbl>
      <w:tblPr>
        <w:tblStyle w:val="TextLayout"/>
        <w:tblW w:w="5650" w:type="pct"/>
        <w:tblInd w:w="-170" w:type="dxa"/>
        <w:tblLayout w:type="fixed"/>
        <w:tblLook w:val="04A0" w:firstRow="1" w:lastRow="0" w:firstColumn="1" w:lastColumn="0" w:noHBand="0" w:noVBand="1"/>
      </w:tblPr>
      <w:tblGrid>
        <w:gridCol w:w="141"/>
        <w:gridCol w:w="9264"/>
        <w:gridCol w:w="845"/>
      </w:tblGrid>
      <w:tr w:rsidR="00160030" w:rsidRPr="003B6F39" w:rsidTr="002037BC">
        <w:trPr>
          <w:trHeight w:hRule="exact" w:val="851"/>
        </w:trPr>
        <w:tc>
          <w:tcPr>
            <w:tcW w:w="142" w:type="dxa"/>
            <w:shd w:val="clear" w:color="auto" w:fill="003378"/>
          </w:tcPr>
          <w:p w:rsidR="00160030" w:rsidRDefault="00160030" w:rsidP="002037BC">
            <w:pPr>
              <w:pStyle w:val="Tabletext"/>
            </w:pPr>
          </w:p>
        </w:tc>
        <w:tc>
          <w:tcPr>
            <w:tcW w:w="9323" w:type="dxa"/>
            <w:tcMar>
              <w:left w:w="57" w:type="dxa"/>
            </w:tcMar>
            <w:vAlign w:val="center"/>
          </w:tcPr>
          <w:p w:rsidR="00160030" w:rsidRDefault="00160030" w:rsidP="00CD2D5C">
            <w:pPr>
              <w:pStyle w:val="SubjectHeading"/>
            </w:pPr>
            <w:r>
              <w:t>Building &amp; Construction Skills</w:t>
            </w:r>
          </w:p>
          <w:p w:rsidR="00160030" w:rsidRPr="00E86C01" w:rsidRDefault="00160030" w:rsidP="00160030">
            <w:pPr>
              <w:pStyle w:val="Heading3"/>
              <w:spacing w:before="0" w:after="0"/>
            </w:pPr>
            <w:bookmarkStart w:id="201" w:name="_Toc16163575"/>
            <w:r>
              <w:t>Applied senior subject</w:t>
            </w:r>
            <w:bookmarkEnd w:id="201"/>
          </w:p>
        </w:tc>
        <w:tc>
          <w:tcPr>
            <w:tcW w:w="850" w:type="dxa"/>
            <w:shd w:val="clear" w:color="auto" w:fill="003378"/>
            <w:tcMar>
              <w:bottom w:w="28" w:type="dxa"/>
              <w:right w:w="57" w:type="dxa"/>
            </w:tcMar>
            <w:vAlign w:val="bottom"/>
          </w:tcPr>
          <w:p w:rsidR="00160030" w:rsidRPr="00BE0C34" w:rsidRDefault="00160030" w:rsidP="00160030">
            <w:pPr>
              <w:pStyle w:val="Heading3"/>
              <w:spacing w:before="0" w:after="100" w:afterAutospacing="1"/>
              <w:jc w:val="right"/>
              <w:rPr>
                <w:color w:val="FFFFFF" w:themeColor="background1"/>
                <w:sz w:val="17"/>
                <w:szCs w:val="17"/>
              </w:rPr>
            </w:pPr>
            <w:bookmarkStart w:id="202" w:name="_Toc16163576"/>
            <w:r>
              <w:rPr>
                <w:color w:val="FFFFFF" w:themeColor="background1"/>
                <w:sz w:val="17"/>
                <w:szCs w:val="17"/>
              </w:rPr>
              <w:t>Applied</w:t>
            </w:r>
            <w:bookmarkEnd w:id="202"/>
          </w:p>
        </w:tc>
      </w:tr>
      <w:tr w:rsidR="00160030" w:rsidRPr="003B6F39" w:rsidTr="002037BC">
        <w:trPr>
          <w:trHeight w:hRule="exact" w:val="113"/>
        </w:trPr>
        <w:tc>
          <w:tcPr>
            <w:tcW w:w="10315" w:type="dxa"/>
            <w:gridSpan w:val="3"/>
            <w:shd w:val="clear" w:color="auto" w:fill="auto"/>
          </w:tcPr>
          <w:p w:rsidR="00160030" w:rsidRPr="00E86C01" w:rsidRDefault="00160030" w:rsidP="002037BC">
            <w:pPr>
              <w:pStyle w:val="Smallspace"/>
            </w:pPr>
          </w:p>
        </w:tc>
      </w:tr>
    </w:tbl>
    <w:p w:rsidR="00352F6F" w:rsidRDefault="00352F6F" w:rsidP="00352F6F">
      <w:pPr>
        <w:pStyle w:val="BodyText"/>
        <w:sectPr w:rsidR="00352F6F" w:rsidSect="008F5484">
          <w:headerReference w:type="default" r:id="rId32"/>
          <w:type w:val="continuous"/>
          <w:pgSz w:w="11907" w:h="16840" w:code="9"/>
          <w:pgMar w:top="1134" w:right="1418" w:bottom="1701" w:left="1418" w:header="567" w:footer="284" w:gutter="0"/>
          <w:cols w:space="720"/>
          <w:formProt w:val="0"/>
          <w:noEndnote/>
          <w:docGrid w:linePitch="299"/>
        </w:sectPr>
      </w:pPr>
    </w:p>
    <w:p w:rsidR="00352F6F" w:rsidRPr="00667922" w:rsidRDefault="00352F6F" w:rsidP="00352F6F">
      <w:pPr>
        <w:pStyle w:val="BodyText"/>
      </w:pPr>
      <w:r w:rsidRPr="00B76239">
        <w:t>Building and Construction Skills focuses on the underpinning industry practices and construction processes required to create, maintain and repair the built envir</w:t>
      </w:r>
      <w:r w:rsidRPr="00667922">
        <w:t xml:space="preserve">onment. </w:t>
      </w:r>
    </w:p>
    <w:p w:rsidR="00953A7F" w:rsidRDefault="00953A7F" w:rsidP="00953A7F">
      <w:pPr>
        <w:pStyle w:val="BodyText"/>
      </w:pPr>
      <w:r>
        <w:t xml:space="preserve">Students </w:t>
      </w:r>
      <w:r w:rsidRPr="001301BF">
        <w:t>learn to meet customer expectations of quality at a specific price and time. In addition, they</w:t>
      </w:r>
      <w:r>
        <w:rPr>
          <w:rFonts w:ascii="Verdana" w:hAnsi="Verdana"/>
          <w:color w:val="333333"/>
          <w:sz w:val="19"/>
          <w:szCs w:val="19"/>
          <w:shd w:val="clear" w:color="auto" w:fill="FFFFFF"/>
        </w:rPr>
        <w:t xml:space="preserve"> </w:t>
      </w:r>
      <w:r w:rsidRPr="00667922">
        <w:t>understand industry practices</w:t>
      </w:r>
      <w:r>
        <w:t>;</w:t>
      </w:r>
      <w:r w:rsidRPr="00667922">
        <w:t xml:space="preserve"> interpret specifications, including information and drawings</w:t>
      </w:r>
      <w:r>
        <w:t>;</w:t>
      </w:r>
      <w:r w:rsidRPr="00667922">
        <w:t xml:space="preserve"> safely demonstrate fundamental construction skills and apply skills and procedures with hand/power tools and equipment</w:t>
      </w:r>
      <w:r>
        <w:t>;</w:t>
      </w:r>
      <w:r w:rsidRPr="00667922">
        <w:t xml:space="preserve"> communicate using oral, written and graphical modes</w:t>
      </w:r>
      <w:r>
        <w:t>;</w:t>
      </w:r>
      <w:r w:rsidRPr="00667922">
        <w:t xml:space="preserve"> organise, calculate and plan construction processes</w:t>
      </w:r>
      <w:r>
        <w:t>;</w:t>
      </w:r>
      <w:r w:rsidRPr="00667922">
        <w:t xml:space="preserve"> and evaluate the structures they create using predefined specifications.</w:t>
      </w:r>
    </w:p>
    <w:p w:rsidR="00352F6F" w:rsidRDefault="00953A7F" w:rsidP="00953A7F">
      <w:pPr>
        <w:pStyle w:val="BodyText"/>
      </w:pPr>
      <w:r>
        <w:t xml:space="preserve">Students develop transferable skills by engaging in </w:t>
      </w:r>
      <w:r w:rsidRPr="00667922">
        <w:t xml:space="preserve">construction tasks that relate to business and industry, and </w:t>
      </w:r>
      <w:r>
        <w:t xml:space="preserve">that </w:t>
      </w:r>
      <w:r w:rsidRPr="00667922">
        <w:t>promote adaptable, competent, self-motivated and safe individuals who can work with colleagues to solve problems and complete practical work</w:t>
      </w:r>
      <w:r w:rsidR="00352F6F" w:rsidRPr="00667922">
        <w:t>.</w:t>
      </w:r>
    </w:p>
    <w:p w:rsidR="00352F6F" w:rsidRDefault="00352F6F" w:rsidP="00352F6F">
      <w:pPr>
        <w:pStyle w:val="Heading3"/>
      </w:pPr>
      <w:bookmarkStart w:id="203" w:name="_Toc16163577"/>
      <w:r>
        <w:t>Pathways</w:t>
      </w:r>
      <w:bookmarkEnd w:id="203"/>
    </w:p>
    <w:p w:rsidR="00352F6F" w:rsidRPr="00667922" w:rsidRDefault="00352F6F" w:rsidP="00352F6F">
      <w:pPr>
        <w:pStyle w:val="BodyText"/>
      </w:pPr>
      <w:r w:rsidRPr="00667922">
        <w:t xml:space="preserve">A course of study in Building </w:t>
      </w:r>
      <w:r w:rsidR="00561A91">
        <w:t>&amp;</w:t>
      </w:r>
      <w:r w:rsidRPr="00667922">
        <w:t xml:space="preserve"> Construction Skills can establish a basis for further education and employment in civil, residential or commercial building and construction fields. These include roles such as bricklayer, plasterer, concreter, painter and decorator, carpenter, joiner, roof tiler, plumber, steel fixer, landscaper and electrician.</w:t>
      </w:r>
    </w:p>
    <w:p w:rsidR="00352F6F" w:rsidRDefault="00352F6F" w:rsidP="009F4757">
      <w:pPr>
        <w:pStyle w:val="Heading3"/>
        <w:spacing w:before="120"/>
      </w:pPr>
      <w:bookmarkStart w:id="204" w:name="_Toc16163578"/>
      <w:r>
        <w:t>Objectives</w:t>
      </w:r>
      <w:bookmarkEnd w:id="204"/>
    </w:p>
    <w:p w:rsidR="00352F6F" w:rsidRPr="00372B73" w:rsidRDefault="00352F6F" w:rsidP="00352F6F">
      <w:pPr>
        <w:pStyle w:val="BodyText"/>
      </w:pPr>
      <w:r w:rsidRPr="00372B73">
        <w:t>By the conclusion of the course of study, students should:</w:t>
      </w:r>
    </w:p>
    <w:p w:rsidR="00352F6F" w:rsidRPr="00372B73" w:rsidRDefault="00352F6F" w:rsidP="00352F6F">
      <w:pPr>
        <w:pStyle w:val="ListBullet0"/>
      </w:pPr>
      <w:r w:rsidRPr="00372B73">
        <w:t>describe industry practices in construction tasks</w:t>
      </w:r>
    </w:p>
    <w:p w:rsidR="00352F6F" w:rsidRPr="00372B73" w:rsidRDefault="00352F6F" w:rsidP="00352F6F">
      <w:pPr>
        <w:pStyle w:val="ListBullet0"/>
      </w:pPr>
      <w:r w:rsidRPr="00372B73">
        <w:t>demonstrate fundamental construction skills</w:t>
      </w:r>
    </w:p>
    <w:p w:rsidR="00352F6F" w:rsidRDefault="00352F6F" w:rsidP="00352F6F">
      <w:pPr>
        <w:pStyle w:val="ListBullet0"/>
      </w:pPr>
      <w:r w:rsidRPr="00372B73">
        <w:t>interpret drawings and technical information</w:t>
      </w:r>
    </w:p>
    <w:p w:rsidR="00352F6F" w:rsidRPr="00372B73" w:rsidRDefault="00352F6F" w:rsidP="00352F6F">
      <w:pPr>
        <w:pStyle w:val="ListBullet0"/>
      </w:pPr>
      <w:r w:rsidRPr="00372B73">
        <w:t>analyse construction tasks to organise materials and resources</w:t>
      </w:r>
    </w:p>
    <w:p w:rsidR="00352F6F" w:rsidRPr="00372B73" w:rsidRDefault="00352F6F" w:rsidP="00352F6F">
      <w:pPr>
        <w:pStyle w:val="ListBullet0"/>
      </w:pPr>
      <w:r w:rsidRPr="00372B73">
        <w:t>select and apply construction skills and procedures in construction tasks</w:t>
      </w:r>
    </w:p>
    <w:p w:rsidR="00352F6F" w:rsidRPr="00372B73" w:rsidRDefault="00352F6F" w:rsidP="00352F6F">
      <w:pPr>
        <w:pStyle w:val="ListBullet0"/>
      </w:pPr>
      <w:r w:rsidRPr="00372B73">
        <w:t>use visual representations and language conventions and features to communicate for particular purposes</w:t>
      </w:r>
    </w:p>
    <w:p w:rsidR="00352F6F" w:rsidRPr="00372B73" w:rsidRDefault="00352F6F" w:rsidP="00352F6F">
      <w:pPr>
        <w:pStyle w:val="ListBullet0"/>
      </w:pPr>
      <w:r w:rsidRPr="00372B73">
        <w:t>plan and adapt construction processes</w:t>
      </w:r>
    </w:p>
    <w:p w:rsidR="00352F6F" w:rsidRPr="00372B73" w:rsidRDefault="00352F6F" w:rsidP="00352F6F">
      <w:pPr>
        <w:pStyle w:val="ListBullet0"/>
      </w:pPr>
      <w:r w:rsidRPr="00372B73">
        <w:t>create structures from specifications</w:t>
      </w:r>
    </w:p>
    <w:p w:rsidR="00352F6F" w:rsidRPr="00372B73" w:rsidRDefault="00352F6F" w:rsidP="00352F6F">
      <w:pPr>
        <w:pStyle w:val="ListBullet0"/>
      </w:pPr>
      <w:r w:rsidRPr="00372B73">
        <w:t>evaluate industry practices, construction processes and structures, and make recommendations</w:t>
      </w:r>
      <w:r>
        <w:t>.</w:t>
      </w:r>
    </w:p>
    <w:p w:rsidR="00352F6F" w:rsidRDefault="00352F6F" w:rsidP="00352F6F">
      <w:pPr>
        <w:pStyle w:val="Heading3"/>
        <w:rPr>
          <w:noProof/>
        </w:rPr>
      </w:pPr>
    </w:p>
    <w:p w:rsidR="009F4757" w:rsidRDefault="009F4757" w:rsidP="009F4757">
      <w:pPr>
        <w:pStyle w:val="BodyText"/>
      </w:pPr>
    </w:p>
    <w:p w:rsidR="009F4757" w:rsidRDefault="009F4757" w:rsidP="009F4757">
      <w:pPr>
        <w:pStyle w:val="BodyText"/>
      </w:pPr>
    </w:p>
    <w:p w:rsidR="009F4757" w:rsidRDefault="009F4757" w:rsidP="009F4757">
      <w:pPr>
        <w:pStyle w:val="BodyText"/>
      </w:pPr>
    </w:p>
    <w:p w:rsidR="009F4757" w:rsidRPr="009F4757" w:rsidRDefault="009F4757" w:rsidP="009F4757">
      <w:pPr>
        <w:pStyle w:val="BodyText"/>
        <w:sectPr w:rsidR="009F4757" w:rsidRPr="009F4757" w:rsidSect="008F5484">
          <w:type w:val="continuous"/>
          <w:pgSz w:w="11907" w:h="16840" w:code="9"/>
          <w:pgMar w:top="1134" w:right="1418" w:bottom="1701" w:left="1418" w:header="567" w:footer="284" w:gutter="0"/>
          <w:cols w:num="2" w:space="720"/>
          <w:formProt w:val="0"/>
          <w:noEndnote/>
          <w:docGrid w:linePitch="299"/>
        </w:sectPr>
      </w:pPr>
    </w:p>
    <w:p w:rsidR="009F4757" w:rsidRDefault="009F4757" w:rsidP="00DE4EA6">
      <w:r>
        <w:br w:type="page"/>
      </w:r>
    </w:p>
    <w:p w:rsidR="00352F6F" w:rsidRDefault="00352F6F" w:rsidP="00352F6F">
      <w:pPr>
        <w:pStyle w:val="Heading3"/>
      </w:pPr>
      <w:bookmarkStart w:id="205" w:name="_Toc16163579"/>
      <w:r>
        <w:t>Structure</w:t>
      </w:r>
      <w:bookmarkEnd w:id="205"/>
    </w:p>
    <w:p w:rsidR="00352F6F" w:rsidRDefault="00655003" w:rsidP="00352F6F">
      <w:pPr>
        <w:pStyle w:val="BodyText"/>
        <w:rPr>
          <w:lang w:eastAsia="en-US"/>
        </w:rPr>
      </w:pPr>
      <w:r>
        <w:rPr>
          <w:lang w:eastAsia="en-US"/>
        </w:rPr>
        <w:t xml:space="preserve">The </w:t>
      </w:r>
      <w:r w:rsidR="00352F6F">
        <w:rPr>
          <w:lang w:eastAsia="en-US"/>
        </w:rPr>
        <w:t xml:space="preserve">Building </w:t>
      </w:r>
      <w:r w:rsidR="00561A91">
        <w:rPr>
          <w:lang w:eastAsia="en-US"/>
        </w:rPr>
        <w:t>&amp;</w:t>
      </w:r>
      <w:r w:rsidR="00352F6F">
        <w:rPr>
          <w:lang w:eastAsia="en-US"/>
        </w:rPr>
        <w:t xml:space="preserve"> Construction</w:t>
      </w:r>
      <w:r w:rsidR="00352F6F" w:rsidRPr="00C21F3C">
        <w:rPr>
          <w:lang w:eastAsia="en-US"/>
        </w:rPr>
        <w:t xml:space="preserve"> </w:t>
      </w:r>
      <w:r w:rsidR="00352F6F">
        <w:rPr>
          <w:lang w:eastAsia="en-US"/>
        </w:rPr>
        <w:t xml:space="preserve">Skills </w:t>
      </w:r>
      <w:r>
        <w:rPr>
          <w:lang w:eastAsia="en-US"/>
        </w:rPr>
        <w:t xml:space="preserve">course </w:t>
      </w:r>
      <w:r w:rsidR="004D4A78">
        <w:rPr>
          <w:lang w:eastAsia="en-US"/>
        </w:rPr>
        <w:t>i</w:t>
      </w:r>
      <w:r w:rsidR="00352F6F">
        <w:rPr>
          <w:lang w:eastAsia="en-US"/>
        </w:rPr>
        <w:t>s designed around core and elective topics.</w:t>
      </w:r>
    </w:p>
    <w:tbl>
      <w:tblPr>
        <w:tblStyle w:val="QCAAtablestyle1"/>
        <w:tblW w:w="4900" w:type="pct"/>
        <w:tblLook w:val="04A0" w:firstRow="1" w:lastRow="0" w:firstColumn="1" w:lastColumn="0" w:noHBand="0" w:noVBand="1"/>
      </w:tblPr>
      <w:tblGrid>
        <w:gridCol w:w="3891"/>
        <w:gridCol w:w="4989"/>
      </w:tblGrid>
      <w:tr w:rsidR="00352F6F" w:rsidTr="003D44D4">
        <w:trPr>
          <w:cnfStyle w:val="100000000000" w:firstRow="1" w:lastRow="0" w:firstColumn="0" w:lastColumn="0" w:oddVBand="0" w:evenVBand="0" w:oddHBand="0" w:evenHBand="0" w:firstRowFirstColumn="0" w:firstRowLastColumn="0" w:lastRowFirstColumn="0" w:lastRowLastColumn="0"/>
        </w:trPr>
        <w:tc>
          <w:tcPr>
            <w:tcW w:w="3969" w:type="dxa"/>
          </w:tcPr>
          <w:p w:rsidR="00352F6F" w:rsidRDefault="00352F6F" w:rsidP="005A1672">
            <w:pPr>
              <w:pStyle w:val="Tableheading"/>
            </w:pPr>
            <w:r>
              <w:t>Core topics</w:t>
            </w:r>
          </w:p>
        </w:tc>
        <w:tc>
          <w:tcPr>
            <w:tcW w:w="5103" w:type="dxa"/>
          </w:tcPr>
          <w:p w:rsidR="00352F6F" w:rsidRDefault="00352F6F" w:rsidP="005A1672">
            <w:pPr>
              <w:pStyle w:val="Tableheading"/>
            </w:pPr>
            <w:r>
              <w:t>Elective</w:t>
            </w:r>
            <w:r w:rsidR="00953A7F">
              <w:t xml:space="preserve"> topic</w:t>
            </w:r>
            <w:r>
              <w:t>s</w:t>
            </w:r>
          </w:p>
        </w:tc>
      </w:tr>
      <w:tr w:rsidR="00352F6F" w:rsidTr="003D44D4">
        <w:tc>
          <w:tcPr>
            <w:tcW w:w="3969" w:type="dxa"/>
          </w:tcPr>
          <w:p w:rsidR="00352F6F" w:rsidRDefault="00352F6F" w:rsidP="005A1672">
            <w:pPr>
              <w:pStyle w:val="TableBullet"/>
            </w:pPr>
            <w:r>
              <w:t>Industry practices</w:t>
            </w:r>
          </w:p>
          <w:p w:rsidR="00352F6F" w:rsidRDefault="00352F6F" w:rsidP="005A1672">
            <w:pPr>
              <w:pStyle w:val="TableBullet"/>
            </w:pPr>
            <w:r>
              <w:t>Construction processes</w:t>
            </w:r>
          </w:p>
        </w:tc>
        <w:tc>
          <w:tcPr>
            <w:tcW w:w="5103" w:type="dxa"/>
          </w:tcPr>
          <w:p w:rsidR="00352F6F" w:rsidRDefault="00352F6F" w:rsidP="0002449F">
            <w:pPr>
              <w:pStyle w:val="TableText0"/>
            </w:pPr>
            <w:r>
              <w:t>Carpentry plus at least two other electives:</w:t>
            </w:r>
          </w:p>
          <w:p w:rsidR="00352F6F" w:rsidRDefault="00352F6F" w:rsidP="005A1672">
            <w:pPr>
              <w:pStyle w:val="TableBullet"/>
            </w:pPr>
            <w:r>
              <w:t>Bricklaying</w:t>
            </w:r>
          </w:p>
          <w:p w:rsidR="00352F6F" w:rsidRDefault="00352F6F" w:rsidP="005A1672">
            <w:pPr>
              <w:pStyle w:val="TableBullet"/>
            </w:pPr>
            <w:r>
              <w:t>Concreting</w:t>
            </w:r>
          </w:p>
          <w:p w:rsidR="00352F6F" w:rsidRDefault="00352F6F" w:rsidP="005A1672">
            <w:pPr>
              <w:pStyle w:val="TableBullet"/>
            </w:pPr>
            <w:r>
              <w:t>Landscaping</w:t>
            </w:r>
          </w:p>
          <w:p w:rsidR="00352F6F" w:rsidRDefault="00352F6F" w:rsidP="005A1672">
            <w:pPr>
              <w:pStyle w:val="TableBullet"/>
            </w:pPr>
            <w:r>
              <w:t>Plastering and painting</w:t>
            </w:r>
          </w:p>
          <w:p w:rsidR="00352F6F" w:rsidRDefault="00352F6F" w:rsidP="005A1672">
            <w:pPr>
              <w:pStyle w:val="TableBullet"/>
            </w:pPr>
            <w:r>
              <w:t>Tiling</w:t>
            </w:r>
            <w:r w:rsidR="005D0ACA">
              <w:t>.</w:t>
            </w:r>
          </w:p>
        </w:tc>
      </w:tr>
    </w:tbl>
    <w:p w:rsidR="00352F6F" w:rsidRDefault="00352F6F" w:rsidP="00352F6F">
      <w:pPr>
        <w:pStyle w:val="Heading3"/>
      </w:pPr>
      <w:bookmarkStart w:id="206" w:name="_Toc16163580"/>
      <w:r>
        <w:t>Assessment</w:t>
      </w:r>
      <w:bookmarkEnd w:id="206"/>
    </w:p>
    <w:p w:rsidR="00352F6F" w:rsidRDefault="003D09E1" w:rsidP="00352F6F">
      <w:pPr>
        <w:pStyle w:val="BodyText"/>
        <w:spacing w:before="120"/>
        <w:rPr>
          <w:noProof/>
        </w:rPr>
      </w:pPr>
      <w:r>
        <w:rPr>
          <w:noProof/>
        </w:rPr>
        <w:t>For Building and Construction Skills, a</w:t>
      </w:r>
      <w:r w:rsidR="00352F6F">
        <w:rPr>
          <w:noProof/>
        </w:rPr>
        <w:t>ssessment from Units 3 and 4 is used to deter</w:t>
      </w:r>
      <w:r>
        <w:rPr>
          <w:noProof/>
        </w:rPr>
        <w:t xml:space="preserve">mine the student’s exit result, and </w:t>
      </w:r>
      <w:r w:rsidR="00352F6F">
        <w:rPr>
          <w:noProof/>
        </w:rPr>
        <w:t>consists of four instruments</w:t>
      </w:r>
      <w:r>
        <w:rPr>
          <w:noProof/>
        </w:rPr>
        <w:t>, including</w:t>
      </w:r>
      <w:r w:rsidR="00352F6F">
        <w:t>:</w:t>
      </w:r>
    </w:p>
    <w:p w:rsidR="00352F6F" w:rsidRDefault="00352F6F" w:rsidP="00352F6F">
      <w:pPr>
        <w:pStyle w:val="ListBullet0"/>
        <w:rPr>
          <w:noProof/>
        </w:rPr>
      </w:pPr>
      <w:r>
        <w:rPr>
          <w:noProof/>
        </w:rPr>
        <w:t>at least two projects</w:t>
      </w:r>
    </w:p>
    <w:p w:rsidR="00352F6F" w:rsidRDefault="00352F6F" w:rsidP="00BC1B19">
      <w:pPr>
        <w:pStyle w:val="ListBullet0"/>
        <w:rPr>
          <w:noProof/>
        </w:rPr>
      </w:pPr>
      <w:r>
        <w:rPr>
          <w:noProof/>
        </w:rPr>
        <w:t>at least one practical demonstration (separate to the assessable component of a project).</w:t>
      </w:r>
    </w:p>
    <w:tbl>
      <w:tblPr>
        <w:tblStyle w:val="QCAAtablestyle1"/>
        <w:tblW w:w="4900" w:type="pct"/>
        <w:tblLook w:val="04A0" w:firstRow="1" w:lastRow="0" w:firstColumn="1" w:lastColumn="0" w:noHBand="0" w:noVBand="1"/>
      </w:tblPr>
      <w:tblGrid>
        <w:gridCol w:w="2969"/>
        <w:gridCol w:w="2959"/>
        <w:gridCol w:w="2952"/>
      </w:tblGrid>
      <w:tr w:rsidR="00352F6F" w:rsidTr="003D44D4">
        <w:trPr>
          <w:cnfStyle w:val="100000000000" w:firstRow="1" w:lastRow="0" w:firstColumn="0" w:lastColumn="0" w:oddVBand="0" w:evenVBand="0" w:oddHBand="0" w:evenHBand="0" w:firstRowFirstColumn="0" w:firstRowLastColumn="0" w:lastRowFirstColumn="0" w:lastRowLastColumn="0"/>
        </w:trPr>
        <w:tc>
          <w:tcPr>
            <w:tcW w:w="2990" w:type="dxa"/>
          </w:tcPr>
          <w:p w:rsidR="00352F6F" w:rsidRDefault="00352F6F" w:rsidP="005A1672">
            <w:pPr>
              <w:pStyle w:val="Tableheading"/>
              <w:rPr>
                <w:noProof/>
              </w:rPr>
            </w:pPr>
            <w:r>
              <w:rPr>
                <w:noProof/>
              </w:rPr>
              <w:t>Project</w:t>
            </w:r>
          </w:p>
        </w:tc>
        <w:tc>
          <w:tcPr>
            <w:tcW w:w="2981" w:type="dxa"/>
          </w:tcPr>
          <w:p w:rsidR="00352F6F" w:rsidRDefault="00352F6F" w:rsidP="005A1672">
            <w:pPr>
              <w:pStyle w:val="Tableheading"/>
              <w:rPr>
                <w:noProof/>
              </w:rPr>
            </w:pPr>
            <w:r>
              <w:rPr>
                <w:noProof/>
              </w:rPr>
              <w:t>Practical demonstration</w:t>
            </w:r>
          </w:p>
        </w:tc>
        <w:tc>
          <w:tcPr>
            <w:tcW w:w="2977" w:type="dxa"/>
          </w:tcPr>
          <w:p w:rsidR="00352F6F" w:rsidRDefault="00352F6F" w:rsidP="005A1672">
            <w:pPr>
              <w:pStyle w:val="Tableheading"/>
              <w:rPr>
                <w:noProof/>
              </w:rPr>
            </w:pPr>
            <w:r>
              <w:rPr>
                <w:noProof/>
              </w:rPr>
              <w:t>Examination</w:t>
            </w:r>
          </w:p>
        </w:tc>
      </w:tr>
      <w:tr w:rsidR="00352F6F" w:rsidTr="003D44D4">
        <w:tc>
          <w:tcPr>
            <w:tcW w:w="2990" w:type="dxa"/>
          </w:tcPr>
          <w:p w:rsidR="00352F6F" w:rsidRDefault="00352F6F" w:rsidP="005A1672">
            <w:pPr>
              <w:pStyle w:val="Tabletext"/>
              <w:rPr>
                <w:noProof/>
              </w:rPr>
            </w:pPr>
            <w:r>
              <w:rPr>
                <w:noProof/>
              </w:rPr>
              <w:t>A response to a single task, situation and/or scenario.</w:t>
            </w:r>
          </w:p>
        </w:tc>
        <w:tc>
          <w:tcPr>
            <w:tcW w:w="2981" w:type="dxa"/>
          </w:tcPr>
          <w:p w:rsidR="00352F6F" w:rsidRDefault="00352F6F" w:rsidP="005A1672">
            <w:pPr>
              <w:pStyle w:val="Tabletext"/>
              <w:rPr>
                <w:noProof/>
              </w:rPr>
            </w:pPr>
            <w:r>
              <w:rPr>
                <w:noProof/>
              </w:rPr>
              <w:t>A task that assesses the practical application of a specific set of teacher-identified production skills and procedures.</w:t>
            </w:r>
          </w:p>
        </w:tc>
        <w:tc>
          <w:tcPr>
            <w:tcW w:w="2977" w:type="dxa"/>
          </w:tcPr>
          <w:p w:rsidR="00352F6F" w:rsidRDefault="00352F6F" w:rsidP="005A1672">
            <w:pPr>
              <w:pStyle w:val="Tabletext"/>
              <w:rPr>
                <w:noProof/>
              </w:rPr>
            </w:pPr>
            <w:r>
              <w:rPr>
                <w:noProof/>
              </w:rPr>
              <w:t>A response that answers a number of provided questions, scenarios and/or problems.</w:t>
            </w:r>
          </w:p>
        </w:tc>
      </w:tr>
      <w:tr w:rsidR="00352F6F" w:rsidTr="003D44D4">
        <w:tc>
          <w:tcPr>
            <w:tcW w:w="2990" w:type="dxa"/>
          </w:tcPr>
          <w:p w:rsidR="00352F6F" w:rsidRDefault="00352F6F" w:rsidP="005A1672">
            <w:pPr>
              <w:pStyle w:val="Tabletext"/>
              <w:rPr>
                <w:noProof/>
              </w:rPr>
            </w:pPr>
            <w:r>
              <w:rPr>
                <w:noProof/>
              </w:rPr>
              <w:t>A project consists of a product component and at least one of the following components:</w:t>
            </w:r>
          </w:p>
          <w:p w:rsidR="00352F6F" w:rsidRDefault="00166AF9" w:rsidP="005A1672">
            <w:pPr>
              <w:pStyle w:val="TableBullet"/>
              <w:rPr>
                <w:noProof/>
              </w:rPr>
            </w:pPr>
            <w:r>
              <w:rPr>
                <w:noProof/>
              </w:rPr>
              <w:t>w</w:t>
            </w:r>
            <w:r w:rsidR="00352F6F">
              <w:rPr>
                <w:noProof/>
              </w:rPr>
              <w:t>ritten: 500</w:t>
            </w:r>
            <w:r w:rsidR="00D823B6">
              <w:rPr>
                <w:noProof/>
              </w:rPr>
              <w:t>–</w:t>
            </w:r>
            <w:r w:rsidR="00352F6F">
              <w:rPr>
                <w:noProof/>
              </w:rPr>
              <w:t>900 words</w:t>
            </w:r>
          </w:p>
          <w:p w:rsidR="00352F6F" w:rsidRDefault="00166AF9" w:rsidP="005A1672">
            <w:pPr>
              <w:pStyle w:val="TableBullet"/>
              <w:rPr>
                <w:noProof/>
              </w:rPr>
            </w:pPr>
            <w:r>
              <w:rPr>
                <w:noProof/>
              </w:rPr>
              <w:t>s</w:t>
            </w:r>
            <w:r w:rsidR="00352F6F">
              <w:rPr>
                <w:noProof/>
              </w:rPr>
              <w:t>poken: 2½</w:t>
            </w:r>
            <w:r w:rsidR="00D823B6">
              <w:rPr>
                <w:noProof/>
              </w:rPr>
              <w:t>–</w:t>
            </w:r>
            <w:r w:rsidR="00352F6F">
              <w:rPr>
                <w:noProof/>
              </w:rPr>
              <w:t>3½ minutes</w:t>
            </w:r>
          </w:p>
          <w:p w:rsidR="00352F6F" w:rsidRDefault="00166AF9" w:rsidP="005A1672">
            <w:pPr>
              <w:pStyle w:val="TableBullet"/>
              <w:rPr>
                <w:noProof/>
              </w:rPr>
            </w:pPr>
            <w:r>
              <w:rPr>
                <w:noProof/>
              </w:rPr>
              <w:t>multimodal</w:t>
            </w:r>
          </w:p>
          <w:p w:rsidR="00352F6F" w:rsidRPr="004B5ECE" w:rsidRDefault="00610261" w:rsidP="005A1672">
            <w:pPr>
              <w:pStyle w:val="TableBullet2"/>
              <w:rPr>
                <w:noProof/>
                <w:lang w:val="fr-FR"/>
              </w:rPr>
            </w:pPr>
            <w:r w:rsidRPr="004B5ECE">
              <w:rPr>
                <w:noProof/>
                <w:lang w:val="fr-FR"/>
              </w:rPr>
              <w:t>n</w:t>
            </w:r>
            <w:r w:rsidR="00352F6F" w:rsidRPr="004B5ECE">
              <w:rPr>
                <w:noProof/>
                <w:lang w:val="fr-FR"/>
              </w:rPr>
              <w:t>on-presentation</w:t>
            </w:r>
            <w:r w:rsidR="00166AF9" w:rsidRPr="004B5ECE">
              <w:rPr>
                <w:noProof/>
                <w:lang w:val="fr-FR"/>
              </w:rPr>
              <w:t>:</w:t>
            </w:r>
            <w:r w:rsidR="00D823B6" w:rsidRPr="004B5ECE">
              <w:rPr>
                <w:noProof/>
                <w:lang w:val="fr-FR"/>
              </w:rPr>
              <w:t xml:space="preserve"> </w:t>
            </w:r>
            <w:r w:rsidR="00352F6F" w:rsidRPr="004B5ECE">
              <w:rPr>
                <w:noProof/>
                <w:lang w:val="fr-FR"/>
              </w:rPr>
              <w:t>8 A4 pages max (or equivalent)</w:t>
            </w:r>
          </w:p>
          <w:p w:rsidR="00352F6F" w:rsidRDefault="00610261" w:rsidP="005A1672">
            <w:pPr>
              <w:pStyle w:val="TableBullet2"/>
              <w:rPr>
                <w:noProof/>
              </w:rPr>
            </w:pPr>
            <w:r>
              <w:rPr>
                <w:noProof/>
              </w:rPr>
              <w:t>p</w:t>
            </w:r>
            <w:r w:rsidR="00352F6F">
              <w:rPr>
                <w:noProof/>
              </w:rPr>
              <w:t>resentation</w:t>
            </w:r>
            <w:r w:rsidR="00166AF9">
              <w:rPr>
                <w:noProof/>
              </w:rPr>
              <w:t>:</w:t>
            </w:r>
            <w:r w:rsidR="00D823B6">
              <w:rPr>
                <w:noProof/>
              </w:rPr>
              <w:t xml:space="preserve"> </w:t>
            </w:r>
            <w:r w:rsidR="00352F6F">
              <w:rPr>
                <w:noProof/>
              </w:rPr>
              <w:t>3</w:t>
            </w:r>
            <w:r w:rsidR="00D823B6">
              <w:rPr>
                <w:noProof/>
              </w:rPr>
              <w:t>–</w:t>
            </w:r>
            <w:r w:rsidR="00352F6F">
              <w:rPr>
                <w:noProof/>
              </w:rPr>
              <w:t>6 minutes</w:t>
            </w:r>
          </w:p>
          <w:p w:rsidR="00352F6F" w:rsidRDefault="00166AF9" w:rsidP="005A1672">
            <w:pPr>
              <w:pStyle w:val="TableBullet"/>
              <w:rPr>
                <w:noProof/>
              </w:rPr>
            </w:pPr>
            <w:r>
              <w:rPr>
                <w:noProof/>
              </w:rPr>
              <w:t>p</w:t>
            </w:r>
            <w:r w:rsidR="00352F6F">
              <w:rPr>
                <w:noProof/>
              </w:rPr>
              <w:t>roduct: continous class time</w:t>
            </w:r>
            <w:r w:rsidR="001870E2">
              <w:rPr>
                <w:noProof/>
              </w:rPr>
              <w:t>.</w:t>
            </w:r>
          </w:p>
        </w:tc>
        <w:tc>
          <w:tcPr>
            <w:tcW w:w="2981" w:type="dxa"/>
          </w:tcPr>
          <w:p w:rsidR="00352F6F" w:rsidRDefault="00352F6F" w:rsidP="005A1672">
            <w:pPr>
              <w:pStyle w:val="Tabletext"/>
              <w:rPr>
                <w:noProof/>
              </w:rPr>
            </w:pPr>
            <w:r>
              <w:rPr>
                <w:noProof/>
              </w:rPr>
              <w:t>Students demonstrate production skills and procedures in class under teacher supervision.</w:t>
            </w:r>
          </w:p>
        </w:tc>
        <w:tc>
          <w:tcPr>
            <w:tcW w:w="2977" w:type="dxa"/>
          </w:tcPr>
          <w:p w:rsidR="00352F6F" w:rsidRDefault="00352F6F" w:rsidP="005A1672">
            <w:pPr>
              <w:pStyle w:val="TableBullet"/>
              <w:rPr>
                <w:noProof/>
              </w:rPr>
            </w:pPr>
            <w:r>
              <w:rPr>
                <w:noProof/>
              </w:rPr>
              <w:t>60</w:t>
            </w:r>
            <w:r w:rsidR="00D823B6">
              <w:rPr>
                <w:noProof/>
              </w:rPr>
              <w:t>–</w:t>
            </w:r>
            <w:r>
              <w:rPr>
                <w:noProof/>
              </w:rPr>
              <w:t>90 minutes</w:t>
            </w:r>
          </w:p>
          <w:p w:rsidR="00352F6F" w:rsidRDefault="00352F6F" w:rsidP="005A1672">
            <w:pPr>
              <w:pStyle w:val="TableBullet"/>
              <w:rPr>
                <w:noProof/>
              </w:rPr>
            </w:pPr>
            <w:r>
              <w:rPr>
                <w:noProof/>
              </w:rPr>
              <w:t>50</w:t>
            </w:r>
            <w:r w:rsidR="00D823B6">
              <w:rPr>
                <w:noProof/>
              </w:rPr>
              <w:t>–</w:t>
            </w:r>
            <w:r>
              <w:rPr>
                <w:noProof/>
              </w:rPr>
              <w:t>250 words per item</w:t>
            </w:r>
          </w:p>
        </w:tc>
      </w:tr>
    </w:tbl>
    <w:p w:rsidR="00352F6F" w:rsidRDefault="00352F6F" w:rsidP="00352F6F">
      <w:r>
        <w:br w:type="page"/>
      </w:r>
    </w:p>
    <w:p w:rsidR="00352F6F" w:rsidRDefault="00352F6F" w:rsidP="00352F6F"/>
    <w:p w:rsidR="00352F6F" w:rsidRDefault="00352F6F" w:rsidP="00352F6F">
      <w:bookmarkStart w:id="207" w:name="_Hlk492883361"/>
      <w:bookmarkStart w:id="208" w:name="_Hlk492885307"/>
    </w:p>
    <w:p w:rsidR="0017333A" w:rsidRDefault="0017333A"/>
    <w:bookmarkEnd w:id="207"/>
    <w:bookmarkEnd w:id="208"/>
    <w:tbl>
      <w:tblPr>
        <w:tblStyle w:val="TextLayout"/>
        <w:tblW w:w="5650" w:type="pct"/>
        <w:tblInd w:w="-170" w:type="dxa"/>
        <w:tblLayout w:type="fixed"/>
        <w:tblLook w:val="04A0" w:firstRow="1" w:lastRow="0" w:firstColumn="1" w:lastColumn="0" w:noHBand="0" w:noVBand="1"/>
      </w:tblPr>
      <w:tblGrid>
        <w:gridCol w:w="141"/>
        <w:gridCol w:w="9264"/>
        <w:gridCol w:w="845"/>
      </w:tblGrid>
      <w:tr w:rsidR="00160030" w:rsidRPr="003B6F39" w:rsidTr="002037BC">
        <w:trPr>
          <w:trHeight w:hRule="exact" w:val="851"/>
        </w:trPr>
        <w:tc>
          <w:tcPr>
            <w:tcW w:w="142" w:type="dxa"/>
            <w:shd w:val="clear" w:color="auto" w:fill="003378"/>
          </w:tcPr>
          <w:p w:rsidR="00160030" w:rsidRDefault="00160030" w:rsidP="002037BC">
            <w:pPr>
              <w:pStyle w:val="Tabletext"/>
            </w:pPr>
          </w:p>
        </w:tc>
        <w:tc>
          <w:tcPr>
            <w:tcW w:w="9323" w:type="dxa"/>
            <w:tcMar>
              <w:left w:w="57" w:type="dxa"/>
            </w:tcMar>
            <w:vAlign w:val="center"/>
          </w:tcPr>
          <w:p w:rsidR="00160030" w:rsidRDefault="00160030" w:rsidP="00CD2D5C">
            <w:pPr>
              <w:pStyle w:val="SubjectHeading"/>
            </w:pPr>
            <w:r>
              <w:t>Industrial Graphic</w:t>
            </w:r>
            <w:r w:rsidR="00180EDC">
              <w:t>s</w:t>
            </w:r>
            <w:r>
              <w:t xml:space="preserve"> Skills</w:t>
            </w:r>
          </w:p>
          <w:p w:rsidR="00160030" w:rsidRPr="00E86C01" w:rsidRDefault="00160030" w:rsidP="002037BC">
            <w:pPr>
              <w:pStyle w:val="Heading3"/>
              <w:spacing w:before="0" w:after="0"/>
            </w:pPr>
            <w:bookmarkStart w:id="209" w:name="_Toc16163581"/>
            <w:r>
              <w:t>Applied senior subject</w:t>
            </w:r>
            <w:bookmarkEnd w:id="209"/>
          </w:p>
        </w:tc>
        <w:tc>
          <w:tcPr>
            <w:tcW w:w="850" w:type="dxa"/>
            <w:shd w:val="clear" w:color="auto" w:fill="003378"/>
            <w:tcMar>
              <w:bottom w:w="28" w:type="dxa"/>
              <w:right w:w="57" w:type="dxa"/>
            </w:tcMar>
            <w:vAlign w:val="bottom"/>
          </w:tcPr>
          <w:p w:rsidR="00160030" w:rsidRPr="00BE0C34" w:rsidRDefault="00160030" w:rsidP="00160030">
            <w:pPr>
              <w:pStyle w:val="Heading3"/>
              <w:spacing w:before="0" w:after="100" w:afterAutospacing="1"/>
              <w:jc w:val="right"/>
              <w:rPr>
                <w:color w:val="FFFFFF" w:themeColor="background1"/>
                <w:sz w:val="17"/>
                <w:szCs w:val="17"/>
              </w:rPr>
            </w:pPr>
            <w:bookmarkStart w:id="210" w:name="_Toc16163582"/>
            <w:r>
              <w:rPr>
                <w:color w:val="FFFFFF" w:themeColor="background1"/>
                <w:sz w:val="17"/>
                <w:szCs w:val="17"/>
              </w:rPr>
              <w:t>Applied</w:t>
            </w:r>
            <w:bookmarkEnd w:id="210"/>
          </w:p>
        </w:tc>
      </w:tr>
      <w:tr w:rsidR="00160030" w:rsidRPr="003B6F39" w:rsidTr="002037BC">
        <w:trPr>
          <w:trHeight w:hRule="exact" w:val="113"/>
        </w:trPr>
        <w:tc>
          <w:tcPr>
            <w:tcW w:w="10315" w:type="dxa"/>
            <w:gridSpan w:val="3"/>
            <w:shd w:val="clear" w:color="auto" w:fill="auto"/>
          </w:tcPr>
          <w:p w:rsidR="00160030" w:rsidRPr="00E86C01" w:rsidRDefault="00160030" w:rsidP="002037BC">
            <w:pPr>
              <w:pStyle w:val="Smallspace"/>
            </w:pPr>
          </w:p>
        </w:tc>
      </w:tr>
    </w:tbl>
    <w:p w:rsidR="0047472D" w:rsidRDefault="0047472D" w:rsidP="0047472D">
      <w:pPr>
        <w:pStyle w:val="BodyText"/>
        <w:sectPr w:rsidR="0047472D" w:rsidSect="008F5484">
          <w:headerReference w:type="default" r:id="rId33"/>
          <w:type w:val="continuous"/>
          <w:pgSz w:w="11907" w:h="16840" w:code="9"/>
          <w:pgMar w:top="1134" w:right="1418" w:bottom="1701" w:left="1418" w:header="567" w:footer="284" w:gutter="0"/>
          <w:cols w:space="720"/>
          <w:formProt w:val="0"/>
          <w:noEndnote/>
          <w:docGrid w:linePitch="299"/>
        </w:sectPr>
      </w:pPr>
    </w:p>
    <w:p w:rsidR="0047472D" w:rsidRDefault="0047472D" w:rsidP="0047472D">
      <w:pPr>
        <w:pStyle w:val="BodyText"/>
      </w:pPr>
      <w:r>
        <w:t>Industrial Graphics S</w:t>
      </w:r>
      <w:r w:rsidRPr="00667922">
        <w:t xml:space="preserve">kills focuses on the underpinning industry practices and production processes required to </w:t>
      </w:r>
      <w:r w:rsidRPr="0047472D">
        <w:t xml:space="preserve">produce the technical drawings used in a variety of industries, including building and construction, engineering and furnishing. </w:t>
      </w:r>
      <w:r w:rsidRPr="00667922">
        <w:t xml:space="preserve"> </w:t>
      </w:r>
    </w:p>
    <w:p w:rsidR="0047472D" w:rsidRDefault="0047472D" w:rsidP="0047472D">
      <w:pPr>
        <w:pStyle w:val="BodyText"/>
      </w:pPr>
      <w:r>
        <w:t>S</w:t>
      </w:r>
      <w:r w:rsidRPr="00667922">
        <w:t>tudents understand</w:t>
      </w:r>
      <w:r w:rsidR="002730CB" w:rsidRPr="002730CB">
        <w:t xml:space="preserve"> industry practices, interpret technical </w:t>
      </w:r>
      <w:r w:rsidR="00A50120">
        <w:t xml:space="preserve">information and </w:t>
      </w:r>
      <w:r w:rsidR="002730CB" w:rsidRPr="002730CB">
        <w:t xml:space="preserve">drawings, demonstrate and apply safe practical modelling procedures with tools and materials, communicate using oral and written modes, organise and produce technical drawings and evaluate drawings using specifications.  </w:t>
      </w:r>
    </w:p>
    <w:p w:rsidR="0047472D" w:rsidRDefault="0047472D" w:rsidP="0047472D">
      <w:pPr>
        <w:pStyle w:val="BodyText"/>
        <w:rPr>
          <w:rFonts w:ascii="Verdana" w:hAnsi="Verdana"/>
          <w:color w:val="333333"/>
          <w:sz w:val="19"/>
          <w:szCs w:val="19"/>
        </w:rPr>
      </w:pPr>
      <w:r>
        <w:t xml:space="preserve">Students develop transferable skills by engaging in </w:t>
      </w:r>
      <w:r w:rsidR="002730CB" w:rsidRPr="002730CB">
        <w:t>drafting and modelling tasks that relate to business and industry, and that promote adaptable, competent, self-motivated and safe individuals who can work with colleagues to solve problems and complete tasks.</w:t>
      </w:r>
      <w:r w:rsidRPr="00667922">
        <w:t xml:space="preserve"> </w:t>
      </w:r>
    </w:p>
    <w:p w:rsidR="0047472D" w:rsidRDefault="0047472D" w:rsidP="0047472D">
      <w:pPr>
        <w:pStyle w:val="Heading3"/>
      </w:pPr>
      <w:bookmarkStart w:id="211" w:name="_Toc16163583"/>
      <w:r>
        <w:t>Pathways</w:t>
      </w:r>
      <w:bookmarkEnd w:id="211"/>
    </w:p>
    <w:p w:rsidR="0047472D" w:rsidRDefault="002730CB" w:rsidP="0047472D">
      <w:pPr>
        <w:pStyle w:val="BodyText"/>
        <w:spacing w:before="120"/>
      </w:pPr>
      <w:r w:rsidRPr="002730CB">
        <w:rPr>
          <w:noProof/>
        </w:rPr>
        <w:t xml:space="preserve">A course of study in Industrial Graphics Skills can establish a basis for further education and employment in a range of roles and trades in the manufacturing industries. With additional training and experience, potential employment opportunities may be found in drafting roles such as architectural drafter, estimator, mechanical drafter, electrical drafter, structural drafter, civil drafter and survey drafter. </w:t>
      </w:r>
      <w:r w:rsidR="0047472D" w:rsidRPr="00C06AEB">
        <w:rPr>
          <w:noProof/>
        </w:rPr>
        <w:t xml:space="preserve"> </w:t>
      </w:r>
    </w:p>
    <w:p w:rsidR="0047472D" w:rsidRDefault="0047472D" w:rsidP="00B82399">
      <w:pPr>
        <w:pStyle w:val="Heading3"/>
        <w:spacing w:before="120"/>
      </w:pPr>
      <w:bookmarkStart w:id="212" w:name="_Toc16163584"/>
      <w:r>
        <w:t>Objectives</w:t>
      </w:r>
      <w:bookmarkEnd w:id="212"/>
    </w:p>
    <w:p w:rsidR="0047472D" w:rsidRPr="00667922" w:rsidRDefault="0047472D" w:rsidP="0047472D">
      <w:pPr>
        <w:pStyle w:val="BodyText"/>
      </w:pPr>
      <w:r w:rsidRPr="00667922">
        <w:t>By the conclusion of the course of study, students</w:t>
      </w:r>
      <w:r w:rsidR="00922716">
        <w:t xml:space="preserve"> </w:t>
      </w:r>
      <w:r w:rsidR="003D33B8">
        <w:t>should</w:t>
      </w:r>
      <w:r w:rsidRPr="00667922">
        <w:t>:</w:t>
      </w:r>
    </w:p>
    <w:p w:rsidR="002730CB" w:rsidRDefault="002730CB" w:rsidP="002730CB">
      <w:pPr>
        <w:pStyle w:val="ListBullet0"/>
      </w:pPr>
      <w:r>
        <w:t xml:space="preserve">describe industry practices in drafting and modelling tasks  </w:t>
      </w:r>
    </w:p>
    <w:p w:rsidR="002730CB" w:rsidRDefault="002730CB" w:rsidP="002730CB">
      <w:pPr>
        <w:pStyle w:val="ListBullet0"/>
      </w:pPr>
      <w:r>
        <w:t xml:space="preserve">demonstrate fundamental drawing skills  </w:t>
      </w:r>
    </w:p>
    <w:p w:rsidR="002730CB" w:rsidRDefault="002730CB" w:rsidP="002730CB">
      <w:pPr>
        <w:pStyle w:val="ListBullet0"/>
      </w:pPr>
      <w:r>
        <w:t xml:space="preserve">interpret drawings and technical information </w:t>
      </w:r>
    </w:p>
    <w:p w:rsidR="002730CB" w:rsidRDefault="002730CB" w:rsidP="002730CB">
      <w:pPr>
        <w:pStyle w:val="ListBullet0"/>
      </w:pPr>
      <w:r>
        <w:t xml:space="preserve">analyse drafting tasks to organise information  </w:t>
      </w:r>
    </w:p>
    <w:p w:rsidR="002730CB" w:rsidRDefault="002730CB" w:rsidP="002730CB">
      <w:pPr>
        <w:pStyle w:val="ListBullet0"/>
      </w:pPr>
      <w:r>
        <w:t xml:space="preserve">select and apply drawing skills and procedures in drafting tasks </w:t>
      </w:r>
    </w:p>
    <w:p w:rsidR="0047472D" w:rsidRPr="00667922" w:rsidRDefault="002730CB" w:rsidP="002730CB">
      <w:pPr>
        <w:pStyle w:val="ListBullet0"/>
      </w:pPr>
      <w:r>
        <w:t>use language conventions and features to communicate for particular purposes</w:t>
      </w:r>
    </w:p>
    <w:p w:rsidR="002730CB" w:rsidRDefault="002730CB" w:rsidP="002730CB">
      <w:pPr>
        <w:pStyle w:val="ListBullet0"/>
      </w:pPr>
      <w:r>
        <w:t xml:space="preserve">construct models from drawings  </w:t>
      </w:r>
    </w:p>
    <w:p w:rsidR="002730CB" w:rsidRDefault="002730CB" w:rsidP="002730CB">
      <w:pPr>
        <w:pStyle w:val="ListBullet0"/>
      </w:pPr>
      <w:r>
        <w:t xml:space="preserve">create technical drawings from industry requirements  </w:t>
      </w:r>
    </w:p>
    <w:p w:rsidR="002730CB" w:rsidRDefault="002730CB" w:rsidP="002730CB">
      <w:pPr>
        <w:pStyle w:val="ListBullet0"/>
      </w:pPr>
      <w:r>
        <w:t xml:space="preserve">evaluate industry practices, drafting processes and drawings, and make recommendations. </w:t>
      </w:r>
    </w:p>
    <w:p w:rsidR="0047472D" w:rsidRDefault="0047472D" w:rsidP="00352F6F">
      <w:pPr>
        <w:pStyle w:val="BodyText"/>
        <w:spacing w:before="120"/>
        <w:rPr>
          <w:noProof/>
        </w:rPr>
      </w:pPr>
    </w:p>
    <w:p w:rsidR="00B82399" w:rsidRDefault="00B82399" w:rsidP="00352F6F">
      <w:pPr>
        <w:pStyle w:val="BodyText"/>
        <w:spacing w:before="120"/>
        <w:rPr>
          <w:noProof/>
        </w:rPr>
      </w:pPr>
    </w:p>
    <w:p w:rsidR="00B82399" w:rsidRDefault="00B82399" w:rsidP="00352F6F">
      <w:pPr>
        <w:pStyle w:val="BodyText"/>
        <w:spacing w:before="120"/>
        <w:rPr>
          <w:noProof/>
        </w:rPr>
      </w:pPr>
    </w:p>
    <w:p w:rsidR="00B82399" w:rsidRDefault="00B82399" w:rsidP="00352F6F">
      <w:pPr>
        <w:pStyle w:val="BodyText"/>
        <w:spacing w:before="120"/>
        <w:rPr>
          <w:noProof/>
        </w:rPr>
      </w:pPr>
    </w:p>
    <w:p w:rsidR="00B82399" w:rsidRDefault="00B82399" w:rsidP="00352F6F">
      <w:pPr>
        <w:pStyle w:val="BodyText"/>
        <w:spacing w:before="120"/>
        <w:rPr>
          <w:noProof/>
        </w:rPr>
      </w:pPr>
    </w:p>
    <w:p w:rsidR="00B82399" w:rsidRDefault="00B82399" w:rsidP="00352F6F">
      <w:pPr>
        <w:pStyle w:val="BodyText"/>
        <w:spacing w:before="120"/>
        <w:rPr>
          <w:noProof/>
        </w:rPr>
        <w:sectPr w:rsidR="00B82399" w:rsidSect="008F5484">
          <w:type w:val="continuous"/>
          <w:pgSz w:w="11907" w:h="16840" w:code="9"/>
          <w:pgMar w:top="1134" w:right="1418" w:bottom="1701" w:left="1418" w:header="567" w:footer="284" w:gutter="0"/>
          <w:cols w:num="2" w:space="720"/>
          <w:formProt w:val="0"/>
          <w:noEndnote/>
          <w:docGrid w:linePitch="299"/>
        </w:sectPr>
      </w:pPr>
    </w:p>
    <w:p w:rsidR="00352F6F" w:rsidRDefault="00352F6F" w:rsidP="00B82399">
      <w:pPr>
        <w:pStyle w:val="Heading3"/>
        <w:spacing w:before="360"/>
      </w:pPr>
      <w:bookmarkStart w:id="213" w:name="_Toc16163585"/>
      <w:r>
        <w:t>Structure</w:t>
      </w:r>
      <w:bookmarkEnd w:id="213"/>
    </w:p>
    <w:p w:rsidR="00D823B6" w:rsidRDefault="00655003" w:rsidP="00D823B6">
      <w:pPr>
        <w:pStyle w:val="BodyText"/>
        <w:rPr>
          <w:lang w:eastAsia="en-US"/>
        </w:rPr>
      </w:pPr>
      <w:bookmarkStart w:id="214" w:name="_Hlk492888099"/>
      <w:r>
        <w:t xml:space="preserve">The </w:t>
      </w:r>
      <w:r w:rsidR="004D4A78">
        <w:t xml:space="preserve">Industrial Graphics </w:t>
      </w:r>
      <w:r w:rsidR="00D823B6">
        <w:rPr>
          <w:lang w:eastAsia="en-US"/>
        </w:rPr>
        <w:t xml:space="preserve">Skills </w:t>
      </w:r>
      <w:r>
        <w:rPr>
          <w:lang w:eastAsia="en-US"/>
        </w:rPr>
        <w:t xml:space="preserve">course </w:t>
      </w:r>
      <w:r w:rsidR="00D823B6">
        <w:rPr>
          <w:lang w:eastAsia="en-US"/>
        </w:rPr>
        <w:t>is designed around core and elective topics.</w:t>
      </w:r>
    </w:p>
    <w:tbl>
      <w:tblPr>
        <w:tblStyle w:val="QCAAtablestyle1"/>
        <w:tblW w:w="4900" w:type="pct"/>
        <w:tblLook w:val="04A0" w:firstRow="1" w:lastRow="0" w:firstColumn="1" w:lastColumn="0" w:noHBand="0" w:noVBand="1"/>
      </w:tblPr>
      <w:tblGrid>
        <w:gridCol w:w="4439"/>
        <w:gridCol w:w="4441"/>
      </w:tblGrid>
      <w:tr w:rsidR="00D823B6" w:rsidTr="00AE60BC">
        <w:trPr>
          <w:cnfStyle w:val="100000000000" w:firstRow="1" w:lastRow="0" w:firstColumn="0" w:lastColumn="0" w:oddVBand="0" w:evenVBand="0" w:oddHBand="0" w:evenHBand="0" w:firstRowFirstColumn="0" w:firstRowLastColumn="0" w:lastRowFirstColumn="0" w:lastRowLastColumn="0"/>
        </w:trPr>
        <w:tc>
          <w:tcPr>
            <w:tcW w:w="4474" w:type="dxa"/>
          </w:tcPr>
          <w:p w:rsidR="00D823B6" w:rsidRDefault="00D823B6" w:rsidP="001F511F">
            <w:pPr>
              <w:pStyle w:val="Tableheading"/>
            </w:pPr>
            <w:r>
              <w:t>Core topics</w:t>
            </w:r>
          </w:p>
        </w:tc>
        <w:tc>
          <w:tcPr>
            <w:tcW w:w="4474" w:type="dxa"/>
          </w:tcPr>
          <w:p w:rsidR="00D823B6" w:rsidRDefault="00D823B6" w:rsidP="001F511F">
            <w:pPr>
              <w:pStyle w:val="Tableheading"/>
            </w:pPr>
            <w:r>
              <w:t>Elective</w:t>
            </w:r>
            <w:r w:rsidR="00180EDC">
              <w:t xml:space="preserve"> topic</w:t>
            </w:r>
            <w:r>
              <w:t>s</w:t>
            </w:r>
          </w:p>
        </w:tc>
      </w:tr>
      <w:tr w:rsidR="00D823B6" w:rsidTr="00AE60BC">
        <w:tc>
          <w:tcPr>
            <w:tcW w:w="4474" w:type="dxa"/>
          </w:tcPr>
          <w:p w:rsidR="00D823B6" w:rsidRDefault="00D823B6" w:rsidP="001F511F">
            <w:pPr>
              <w:pStyle w:val="TableBullet"/>
            </w:pPr>
            <w:r>
              <w:t>Industry practices</w:t>
            </w:r>
          </w:p>
          <w:p w:rsidR="00D823B6" w:rsidRDefault="00064BAC" w:rsidP="001F511F">
            <w:pPr>
              <w:pStyle w:val="TableBullet"/>
            </w:pPr>
            <w:r>
              <w:t xml:space="preserve">Drafting </w:t>
            </w:r>
            <w:r w:rsidR="00D823B6">
              <w:t>processes</w:t>
            </w:r>
          </w:p>
        </w:tc>
        <w:tc>
          <w:tcPr>
            <w:tcW w:w="4474" w:type="dxa"/>
          </w:tcPr>
          <w:p w:rsidR="00D823B6" w:rsidRDefault="00D823B6" w:rsidP="001F511F">
            <w:pPr>
              <w:pStyle w:val="TableBullet"/>
            </w:pPr>
            <w:r>
              <w:t>Building and construction</w:t>
            </w:r>
            <w:r w:rsidR="00064BAC">
              <w:t xml:space="preserve"> drafting</w:t>
            </w:r>
          </w:p>
          <w:p w:rsidR="00D823B6" w:rsidRDefault="00D823B6" w:rsidP="001F511F">
            <w:pPr>
              <w:pStyle w:val="TableBullet"/>
            </w:pPr>
            <w:r>
              <w:t>Engineering drafting</w:t>
            </w:r>
          </w:p>
          <w:p w:rsidR="00D823B6" w:rsidRPr="008E712E" w:rsidRDefault="00D823B6" w:rsidP="00D823B6">
            <w:pPr>
              <w:pStyle w:val="TableBullet"/>
            </w:pPr>
            <w:r>
              <w:t>Furnishing</w:t>
            </w:r>
            <w:r w:rsidR="00064BAC">
              <w:t xml:space="preserve"> drafting</w:t>
            </w:r>
          </w:p>
        </w:tc>
      </w:tr>
      <w:bookmarkEnd w:id="214"/>
    </w:tbl>
    <w:p w:rsidR="00D823B6" w:rsidRPr="00D823B6" w:rsidRDefault="00D823B6" w:rsidP="00D823B6">
      <w:pPr>
        <w:pStyle w:val="BodyText"/>
      </w:pPr>
    </w:p>
    <w:p w:rsidR="00352F6F" w:rsidRDefault="00352F6F" w:rsidP="00352F6F">
      <w:pPr>
        <w:pStyle w:val="Heading3"/>
      </w:pPr>
      <w:bookmarkStart w:id="215" w:name="_Toc16163586"/>
      <w:r>
        <w:t>Assessment</w:t>
      </w:r>
      <w:bookmarkEnd w:id="215"/>
    </w:p>
    <w:p w:rsidR="00D823B6" w:rsidRDefault="007C5F7C" w:rsidP="00D823B6">
      <w:pPr>
        <w:pStyle w:val="BodyText"/>
        <w:spacing w:before="120"/>
        <w:rPr>
          <w:noProof/>
        </w:rPr>
      </w:pPr>
      <w:r>
        <w:rPr>
          <w:noProof/>
        </w:rPr>
        <w:t>For Industrial Graphic Skills, a</w:t>
      </w:r>
      <w:r w:rsidR="00D823B6">
        <w:rPr>
          <w:noProof/>
        </w:rPr>
        <w:t>ssessment from Units 3 and 4 is used to deter</w:t>
      </w:r>
      <w:r>
        <w:rPr>
          <w:noProof/>
        </w:rPr>
        <w:t xml:space="preserve">mine the student’s exit result, and </w:t>
      </w:r>
      <w:r w:rsidR="00D823B6">
        <w:rPr>
          <w:noProof/>
        </w:rPr>
        <w:t>consists of four instruments</w:t>
      </w:r>
      <w:r>
        <w:rPr>
          <w:noProof/>
        </w:rPr>
        <w:t>, including</w:t>
      </w:r>
      <w:r w:rsidR="00D823B6">
        <w:t>:</w:t>
      </w:r>
    </w:p>
    <w:p w:rsidR="00D823B6" w:rsidRDefault="00D823B6" w:rsidP="00D823B6">
      <w:pPr>
        <w:pStyle w:val="ListBullet0"/>
        <w:rPr>
          <w:noProof/>
        </w:rPr>
      </w:pPr>
      <w:r>
        <w:rPr>
          <w:noProof/>
        </w:rPr>
        <w:t>at least two projects</w:t>
      </w:r>
    </w:p>
    <w:p w:rsidR="00D823B6" w:rsidRDefault="00D823B6" w:rsidP="00BC1B19">
      <w:pPr>
        <w:pStyle w:val="ListBullet0"/>
        <w:rPr>
          <w:noProof/>
        </w:rPr>
      </w:pPr>
      <w:r>
        <w:rPr>
          <w:noProof/>
        </w:rPr>
        <w:t>at least one practical demonstration (separate to the assessable component of a project).</w:t>
      </w:r>
    </w:p>
    <w:tbl>
      <w:tblPr>
        <w:tblStyle w:val="QCAAtablestyle1"/>
        <w:tblW w:w="4900" w:type="pct"/>
        <w:tblLook w:val="04A0" w:firstRow="1" w:lastRow="0" w:firstColumn="1" w:lastColumn="0" w:noHBand="0" w:noVBand="1"/>
      </w:tblPr>
      <w:tblGrid>
        <w:gridCol w:w="2969"/>
        <w:gridCol w:w="2959"/>
        <w:gridCol w:w="2952"/>
      </w:tblGrid>
      <w:tr w:rsidR="00D823B6" w:rsidTr="00AE60BC">
        <w:trPr>
          <w:cnfStyle w:val="100000000000" w:firstRow="1" w:lastRow="0" w:firstColumn="0" w:lastColumn="0" w:oddVBand="0" w:evenVBand="0" w:oddHBand="0" w:evenHBand="0" w:firstRowFirstColumn="0" w:firstRowLastColumn="0" w:lastRowFirstColumn="0" w:lastRowLastColumn="0"/>
        </w:trPr>
        <w:tc>
          <w:tcPr>
            <w:tcW w:w="2990" w:type="dxa"/>
          </w:tcPr>
          <w:p w:rsidR="00D823B6" w:rsidRDefault="00D823B6" w:rsidP="001F511F">
            <w:pPr>
              <w:pStyle w:val="Tableheading"/>
              <w:rPr>
                <w:noProof/>
              </w:rPr>
            </w:pPr>
            <w:r>
              <w:rPr>
                <w:noProof/>
              </w:rPr>
              <w:t>Project</w:t>
            </w:r>
          </w:p>
        </w:tc>
        <w:tc>
          <w:tcPr>
            <w:tcW w:w="2981" w:type="dxa"/>
          </w:tcPr>
          <w:p w:rsidR="00D823B6" w:rsidRDefault="00D823B6" w:rsidP="001F511F">
            <w:pPr>
              <w:pStyle w:val="Tableheading"/>
              <w:rPr>
                <w:noProof/>
              </w:rPr>
            </w:pPr>
            <w:r>
              <w:rPr>
                <w:noProof/>
              </w:rPr>
              <w:t>Practical demonstration</w:t>
            </w:r>
          </w:p>
        </w:tc>
        <w:tc>
          <w:tcPr>
            <w:tcW w:w="2977" w:type="dxa"/>
          </w:tcPr>
          <w:p w:rsidR="00D823B6" w:rsidRDefault="00D823B6" w:rsidP="001F511F">
            <w:pPr>
              <w:pStyle w:val="Tableheading"/>
              <w:rPr>
                <w:noProof/>
              </w:rPr>
            </w:pPr>
            <w:r>
              <w:rPr>
                <w:noProof/>
              </w:rPr>
              <w:t>Examination</w:t>
            </w:r>
          </w:p>
        </w:tc>
      </w:tr>
      <w:tr w:rsidR="00D823B6" w:rsidTr="00AE60BC">
        <w:tc>
          <w:tcPr>
            <w:tcW w:w="2990" w:type="dxa"/>
          </w:tcPr>
          <w:p w:rsidR="00D823B6" w:rsidRDefault="00D823B6" w:rsidP="001F511F">
            <w:pPr>
              <w:pStyle w:val="Tabletext"/>
              <w:rPr>
                <w:noProof/>
              </w:rPr>
            </w:pPr>
            <w:r>
              <w:rPr>
                <w:noProof/>
              </w:rPr>
              <w:t>A response to a single task, situation and/or scenario.</w:t>
            </w:r>
          </w:p>
        </w:tc>
        <w:tc>
          <w:tcPr>
            <w:tcW w:w="2981" w:type="dxa"/>
          </w:tcPr>
          <w:p w:rsidR="00D823B6" w:rsidRDefault="00D823B6" w:rsidP="001F511F">
            <w:pPr>
              <w:pStyle w:val="Tabletext"/>
              <w:rPr>
                <w:noProof/>
              </w:rPr>
            </w:pPr>
            <w:r>
              <w:rPr>
                <w:noProof/>
              </w:rPr>
              <w:t>A task that assesses the practical application of a specific set of teacher-identified production skills and procedures.</w:t>
            </w:r>
          </w:p>
        </w:tc>
        <w:tc>
          <w:tcPr>
            <w:tcW w:w="2977" w:type="dxa"/>
          </w:tcPr>
          <w:p w:rsidR="00D823B6" w:rsidRDefault="00D823B6" w:rsidP="001F511F">
            <w:pPr>
              <w:pStyle w:val="Tabletext"/>
              <w:rPr>
                <w:noProof/>
              </w:rPr>
            </w:pPr>
            <w:r>
              <w:rPr>
                <w:noProof/>
              </w:rPr>
              <w:t>A response that answers a number of provided questions, scenarios and/or problems.</w:t>
            </w:r>
          </w:p>
        </w:tc>
      </w:tr>
      <w:tr w:rsidR="00D823B6" w:rsidTr="00AE60BC">
        <w:tc>
          <w:tcPr>
            <w:tcW w:w="2990" w:type="dxa"/>
          </w:tcPr>
          <w:p w:rsidR="00D823B6" w:rsidRDefault="00D823B6" w:rsidP="001F511F">
            <w:pPr>
              <w:pStyle w:val="Tabletext"/>
              <w:rPr>
                <w:noProof/>
              </w:rPr>
            </w:pPr>
            <w:r>
              <w:rPr>
                <w:noProof/>
              </w:rPr>
              <w:t xml:space="preserve">A project consists of a </w:t>
            </w:r>
            <w:r w:rsidR="00064BAC">
              <w:rPr>
                <w:noProof/>
              </w:rPr>
              <w:t xml:space="preserve">technical drawing (which incldues a model) </w:t>
            </w:r>
            <w:r>
              <w:rPr>
                <w:noProof/>
              </w:rPr>
              <w:t>component and at least one of the following components:</w:t>
            </w:r>
          </w:p>
          <w:p w:rsidR="00D823B6" w:rsidRDefault="008D00EE" w:rsidP="001F511F">
            <w:pPr>
              <w:pStyle w:val="TableBullet"/>
              <w:rPr>
                <w:noProof/>
              </w:rPr>
            </w:pPr>
            <w:r>
              <w:rPr>
                <w:noProof/>
              </w:rPr>
              <w:t>w</w:t>
            </w:r>
            <w:r w:rsidR="00D823B6">
              <w:rPr>
                <w:noProof/>
              </w:rPr>
              <w:t>ritten: 500–900 words</w:t>
            </w:r>
          </w:p>
          <w:p w:rsidR="00D823B6" w:rsidRDefault="008D00EE" w:rsidP="001F511F">
            <w:pPr>
              <w:pStyle w:val="TableBullet"/>
              <w:rPr>
                <w:noProof/>
              </w:rPr>
            </w:pPr>
            <w:r>
              <w:rPr>
                <w:noProof/>
              </w:rPr>
              <w:t>s</w:t>
            </w:r>
            <w:r w:rsidR="00D823B6">
              <w:rPr>
                <w:noProof/>
              </w:rPr>
              <w:t>poken: 2½–3½ minutes</w:t>
            </w:r>
          </w:p>
          <w:p w:rsidR="00D823B6" w:rsidRDefault="008D00EE" w:rsidP="001F511F">
            <w:pPr>
              <w:pStyle w:val="TableBullet"/>
              <w:rPr>
                <w:noProof/>
              </w:rPr>
            </w:pPr>
            <w:r>
              <w:rPr>
                <w:noProof/>
              </w:rPr>
              <w:t>multimodal</w:t>
            </w:r>
          </w:p>
          <w:p w:rsidR="00D823B6" w:rsidRPr="004B5ECE" w:rsidRDefault="008D00EE" w:rsidP="001F511F">
            <w:pPr>
              <w:pStyle w:val="TableBullet2"/>
              <w:rPr>
                <w:lang w:val="fr-FR"/>
              </w:rPr>
            </w:pPr>
            <w:r w:rsidRPr="004B5ECE">
              <w:rPr>
                <w:lang w:val="fr-FR"/>
              </w:rPr>
              <w:t>non-presentation:</w:t>
            </w:r>
            <w:r w:rsidR="00D823B6" w:rsidRPr="004B5ECE">
              <w:rPr>
                <w:lang w:val="fr-FR"/>
              </w:rPr>
              <w:t xml:space="preserve"> 8 A4 pages max (or equivalent)</w:t>
            </w:r>
          </w:p>
          <w:p w:rsidR="00D823B6" w:rsidRPr="00551973" w:rsidRDefault="008D00EE" w:rsidP="001F511F">
            <w:pPr>
              <w:pStyle w:val="TableBullet2"/>
            </w:pPr>
            <w:r>
              <w:t>presentation:</w:t>
            </w:r>
            <w:r w:rsidR="00D823B6">
              <w:t xml:space="preserve"> </w:t>
            </w:r>
            <w:r w:rsidR="00D823B6" w:rsidRPr="00551973">
              <w:t>3-6 minutes</w:t>
            </w:r>
          </w:p>
          <w:p w:rsidR="00D823B6" w:rsidRDefault="008D00EE" w:rsidP="001F511F">
            <w:pPr>
              <w:pStyle w:val="TableBullet"/>
              <w:rPr>
                <w:noProof/>
              </w:rPr>
            </w:pPr>
            <w:r>
              <w:rPr>
                <w:noProof/>
              </w:rPr>
              <w:t>p</w:t>
            </w:r>
            <w:r w:rsidR="00D823B6">
              <w:rPr>
                <w:noProof/>
              </w:rPr>
              <w:t>roduct: continous class time.</w:t>
            </w:r>
          </w:p>
        </w:tc>
        <w:tc>
          <w:tcPr>
            <w:tcW w:w="2981" w:type="dxa"/>
          </w:tcPr>
          <w:p w:rsidR="00D823B6" w:rsidRDefault="00D823B6" w:rsidP="001F511F">
            <w:pPr>
              <w:pStyle w:val="Tabletext"/>
              <w:rPr>
                <w:noProof/>
              </w:rPr>
            </w:pPr>
            <w:r>
              <w:rPr>
                <w:noProof/>
              </w:rPr>
              <w:t>Students demonstrate production skills and procedures in class under teacher supervision.</w:t>
            </w:r>
          </w:p>
        </w:tc>
        <w:tc>
          <w:tcPr>
            <w:tcW w:w="2977" w:type="dxa"/>
          </w:tcPr>
          <w:p w:rsidR="00D823B6" w:rsidRDefault="00D823B6" w:rsidP="001F511F">
            <w:pPr>
              <w:pStyle w:val="TableBullet"/>
              <w:rPr>
                <w:noProof/>
              </w:rPr>
            </w:pPr>
            <w:r>
              <w:rPr>
                <w:noProof/>
              </w:rPr>
              <w:t>60–90 minutes</w:t>
            </w:r>
          </w:p>
          <w:p w:rsidR="00D823B6" w:rsidRDefault="00D823B6" w:rsidP="001F511F">
            <w:pPr>
              <w:pStyle w:val="TableBullet"/>
              <w:rPr>
                <w:noProof/>
              </w:rPr>
            </w:pPr>
            <w:r>
              <w:rPr>
                <w:noProof/>
              </w:rPr>
              <w:t>50–250 words per item</w:t>
            </w:r>
          </w:p>
        </w:tc>
      </w:tr>
    </w:tbl>
    <w:p w:rsidR="00D823B6" w:rsidRDefault="00D823B6" w:rsidP="00D823B6"/>
    <w:p w:rsidR="00352F6F" w:rsidRDefault="00352F6F" w:rsidP="00352F6F">
      <w:r>
        <w:br w:type="page"/>
      </w:r>
    </w:p>
    <w:tbl>
      <w:tblPr>
        <w:tblStyle w:val="TextLayout"/>
        <w:tblW w:w="5650" w:type="pct"/>
        <w:tblInd w:w="-170" w:type="dxa"/>
        <w:tblLayout w:type="fixed"/>
        <w:tblLook w:val="04A0" w:firstRow="1" w:lastRow="0" w:firstColumn="1" w:lastColumn="0" w:noHBand="0" w:noVBand="1"/>
      </w:tblPr>
      <w:tblGrid>
        <w:gridCol w:w="141"/>
        <w:gridCol w:w="9264"/>
        <w:gridCol w:w="845"/>
      </w:tblGrid>
      <w:tr w:rsidR="00160030" w:rsidRPr="003B6F39" w:rsidTr="002037BC">
        <w:trPr>
          <w:trHeight w:hRule="exact" w:val="851"/>
        </w:trPr>
        <w:tc>
          <w:tcPr>
            <w:tcW w:w="142" w:type="dxa"/>
            <w:shd w:val="clear" w:color="auto" w:fill="003378"/>
          </w:tcPr>
          <w:p w:rsidR="00160030" w:rsidRDefault="00160030" w:rsidP="002037BC">
            <w:pPr>
              <w:pStyle w:val="Tabletext"/>
            </w:pPr>
          </w:p>
        </w:tc>
        <w:tc>
          <w:tcPr>
            <w:tcW w:w="9323" w:type="dxa"/>
            <w:tcMar>
              <w:left w:w="57" w:type="dxa"/>
            </w:tcMar>
            <w:vAlign w:val="center"/>
          </w:tcPr>
          <w:p w:rsidR="00160030" w:rsidRDefault="00160030" w:rsidP="00CD2D5C">
            <w:pPr>
              <w:pStyle w:val="SubjectHeading"/>
            </w:pPr>
            <w:r>
              <w:t>Industrial Technology Skills</w:t>
            </w:r>
          </w:p>
          <w:p w:rsidR="00160030" w:rsidRPr="00E86C01" w:rsidRDefault="00160030" w:rsidP="002037BC">
            <w:pPr>
              <w:pStyle w:val="Heading3"/>
              <w:spacing w:before="0" w:after="0"/>
            </w:pPr>
            <w:bookmarkStart w:id="216" w:name="_Toc16163587"/>
            <w:r>
              <w:t>Applied senior subject</w:t>
            </w:r>
            <w:bookmarkEnd w:id="216"/>
          </w:p>
        </w:tc>
        <w:tc>
          <w:tcPr>
            <w:tcW w:w="850" w:type="dxa"/>
            <w:shd w:val="clear" w:color="auto" w:fill="003378"/>
            <w:tcMar>
              <w:bottom w:w="28" w:type="dxa"/>
              <w:right w:w="57" w:type="dxa"/>
            </w:tcMar>
            <w:vAlign w:val="bottom"/>
          </w:tcPr>
          <w:p w:rsidR="00160030" w:rsidRPr="00BE0C34" w:rsidRDefault="00160030" w:rsidP="00160030">
            <w:pPr>
              <w:pStyle w:val="Heading3"/>
              <w:spacing w:before="0" w:after="100" w:afterAutospacing="1"/>
              <w:jc w:val="right"/>
              <w:rPr>
                <w:color w:val="FFFFFF" w:themeColor="background1"/>
                <w:sz w:val="17"/>
                <w:szCs w:val="17"/>
              </w:rPr>
            </w:pPr>
            <w:bookmarkStart w:id="217" w:name="_Toc16163588"/>
            <w:r>
              <w:rPr>
                <w:color w:val="FFFFFF" w:themeColor="background1"/>
                <w:sz w:val="17"/>
                <w:szCs w:val="17"/>
              </w:rPr>
              <w:t>Applied</w:t>
            </w:r>
            <w:bookmarkEnd w:id="217"/>
          </w:p>
        </w:tc>
      </w:tr>
      <w:tr w:rsidR="00160030" w:rsidRPr="003B6F39" w:rsidTr="002037BC">
        <w:trPr>
          <w:trHeight w:hRule="exact" w:val="113"/>
        </w:trPr>
        <w:tc>
          <w:tcPr>
            <w:tcW w:w="10315" w:type="dxa"/>
            <w:gridSpan w:val="3"/>
            <w:shd w:val="clear" w:color="auto" w:fill="auto"/>
          </w:tcPr>
          <w:p w:rsidR="00160030" w:rsidRPr="00E86C01" w:rsidRDefault="00160030" w:rsidP="002037BC">
            <w:pPr>
              <w:pStyle w:val="Smallspace"/>
            </w:pPr>
          </w:p>
        </w:tc>
      </w:tr>
    </w:tbl>
    <w:p w:rsidR="00352F6F" w:rsidRDefault="00352F6F" w:rsidP="00352F6F">
      <w:pPr>
        <w:pStyle w:val="BodyText"/>
        <w:spacing w:before="120"/>
        <w:rPr>
          <w:noProof/>
        </w:rPr>
        <w:sectPr w:rsidR="00352F6F" w:rsidSect="008F5484">
          <w:headerReference w:type="default" r:id="rId34"/>
          <w:type w:val="continuous"/>
          <w:pgSz w:w="11907" w:h="16840" w:code="9"/>
          <w:pgMar w:top="1134" w:right="1418" w:bottom="1701" w:left="1418" w:header="567" w:footer="284" w:gutter="0"/>
          <w:cols w:space="720"/>
          <w:formProt w:val="0"/>
          <w:noEndnote/>
          <w:docGrid w:linePitch="299"/>
        </w:sectPr>
      </w:pPr>
    </w:p>
    <w:p w:rsidR="00352F6F" w:rsidRDefault="00352F6F" w:rsidP="00352F6F">
      <w:pPr>
        <w:pStyle w:val="BodyText"/>
        <w:spacing w:before="120"/>
        <w:rPr>
          <w:noProof/>
        </w:rPr>
      </w:pPr>
      <w:r>
        <w:rPr>
          <w:noProof/>
        </w:rPr>
        <w:t xml:space="preserve">Industrial Technology Skills focuses on the practices and processes required to manufacture products in a variety of industries. </w:t>
      </w:r>
    </w:p>
    <w:p w:rsidR="00352F6F" w:rsidRDefault="00352F6F" w:rsidP="00352F6F">
      <w:pPr>
        <w:pStyle w:val="BodyText"/>
        <w:spacing w:before="120"/>
        <w:rPr>
          <w:noProof/>
        </w:rPr>
      </w:pPr>
      <w:r>
        <w:rPr>
          <w:noProof/>
        </w:rPr>
        <w:t>Students understand industry practices</w:t>
      </w:r>
      <w:r w:rsidR="00334DF3">
        <w:rPr>
          <w:noProof/>
        </w:rPr>
        <w:t>;</w:t>
      </w:r>
      <w:r>
        <w:rPr>
          <w:noProof/>
        </w:rPr>
        <w:t xml:space="preserve"> interpret specifications, including technical </w:t>
      </w:r>
      <w:r w:rsidR="00A50120">
        <w:rPr>
          <w:noProof/>
        </w:rPr>
        <w:t>informa</w:t>
      </w:r>
      <w:r w:rsidR="00064BAC">
        <w:rPr>
          <w:noProof/>
        </w:rPr>
        <w:t>tion a</w:t>
      </w:r>
      <w:r w:rsidR="00A50120">
        <w:rPr>
          <w:noProof/>
        </w:rPr>
        <w:t xml:space="preserve">nd </w:t>
      </w:r>
      <w:r>
        <w:rPr>
          <w:noProof/>
        </w:rPr>
        <w:t>drawings</w:t>
      </w:r>
      <w:r w:rsidR="00334DF3">
        <w:rPr>
          <w:noProof/>
        </w:rPr>
        <w:t>;</w:t>
      </w:r>
      <w:r>
        <w:rPr>
          <w:noProof/>
        </w:rPr>
        <w:t xml:space="preserve"> demonstrate and apply safe</w:t>
      </w:r>
      <w:r w:rsidR="00334DF3">
        <w:rPr>
          <w:noProof/>
        </w:rPr>
        <w:t>,</w:t>
      </w:r>
      <w:r>
        <w:rPr>
          <w:noProof/>
        </w:rPr>
        <w:t xml:space="preserve"> practical production processes with hand/power tools and machinery</w:t>
      </w:r>
      <w:r w:rsidR="00334DF3">
        <w:rPr>
          <w:noProof/>
        </w:rPr>
        <w:t>;</w:t>
      </w:r>
      <w:r>
        <w:rPr>
          <w:noProof/>
        </w:rPr>
        <w:t xml:space="preserve"> communicate using oral, written and graphical modes</w:t>
      </w:r>
      <w:r w:rsidR="00334DF3">
        <w:rPr>
          <w:noProof/>
        </w:rPr>
        <w:t>;</w:t>
      </w:r>
      <w:r>
        <w:rPr>
          <w:noProof/>
        </w:rPr>
        <w:t xml:space="preserve"> organise, calculate and plan production processes</w:t>
      </w:r>
      <w:r w:rsidR="00334DF3">
        <w:rPr>
          <w:noProof/>
        </w:rPr>
        <w:t>;</w:t>
      </w:r>
      <w:r>
        <w:rPr>
          <w:noProof/>
        </w:rPr>
        <w:t xml:space="preserve"> and evaluate the products they create using predefined specifications.</w:t>
      </w:r>
    </w:p>
    <w:p w:rsidR="004D4A78" w:rsidRDefault="00064BAC" w:rsidP="00352F6F">
      <w:pPr>
        <w:pStyle w:val="BodyText"/>
        <w:spacing w:before="120"/>
      </w:pPr>
      <w:r w:rsidRPr="00064BAC">
        <w:t xml:space="preserve">Students develop transferable skills by engaging in manufacturing tasks that relate to business and industry, and that promote adaptable, competent, self-motivated and safe individuals who can work with colleagues to solve problems and complete practical work. </w:t>
      </w:r>
    </w:p>
    <w:p w:rsidR="00352F6F" w:rsidRDefault="00352F6F" w:rsidP="00352F6F">
      <w:pPr>
        <w:pStyle w:val="Heading3"/>
      </w:pPr>
      <w:bookmarkStart w:id="218" w:name="_Toc16163589"/>
      <w:r>
        <w:t>Pathways</w:t>
      </w:r>
      <w:bookmarkEnd w:id="218"/>
    </w:p>
    <w:p w:rsidR="00352F6F" w:rsidRDefault="00352F6F" w:rsidP="00352F6F">
      <w:pPr>
        <w:pStyle w:val="BodyText"/>
        <w:rPr>
          <w:noProof/>
        </w:rPr>
      </w:pPr>
      <w:r>
        <w:rPr>
          <w:noProof/>
        </w:rPr>
        <w:t>A course of study in Industrial Technology Skills can establish a basis for further education and employment in manufacturing industries. Employment opportunities may be found in the industry areas of aeroskills, automotive, building and construction, engineering, furnishing, industrial graphics and plastics.</w:t>
      </w:r>
    </w:p>
    <w:p w:rsidR="00352F6F" w:rsidRDefault="00352F6F" w:rsidP="00B421EB">
      <w:pPr>
        <w:pStyle w:val="Heading3"/>
        <w:spacing w:before="120"/>
      </w:pPr>
      <w:bookmarkStart w:id="219" w:name="_Toc16163590"/>
      <w:r>
        <w:t>Objectives</w:t>
      </w:r>
      <w:bookmarkEnd w:id="219"/>
    </w:p>
    <w:p w:rsidR="00352F6F" w:rsidRDefault="00352F6F" w:rsidP="00352F6F">
      <w:pPr>
        <w:pStyle w:val="BodyText"/>
        <w:rPr>
          <w:noProof/>
        </w:rPr>
      </w:pPr>
      <w:r>
        <w:rPr>
          <w:noProof/>
        </w:rPr>
        <w:t>By the conclusion of the course of study, students should:</w:t>
      </w:r>
    </w:p>
    <w:p w:rsidR="00352F6F" w:rsidRPr="004D4A78" w:rsidRDefault="00352F6F" w:rsidP="004D4A78">
      <w:pPr>
        <w:pStyle w:val="ListBullet0"/>
      </w:pPr>
      <w:r w:rsidRPr="004D4A78">
        <w:t>describe industry practices in manufacturing tasks</w:t>
      </w:r>
    </w:p>
    <w:p w:rsidR="00352F6F" w:rsidRPr="004D4A78" w:rsidRDefault="00352F6F" w:rsidP="004D4A78">
      <w:pPr>
        <w:pStyle w:val="ListBullet0"/>
      </w:pPr>
      <w:r w:rsidRPr="004D4A78">
        <w:t>demonstrate fundamental production skills</w:t>
      </w:r>
    </w:p>
    <w:p w:rsidR="00352F6F" w:rsidRPr="004D4A78" w:rsidRDefault="00352F6F" w:rsidP="004D4A78">
      <w:pPr>
        <w:pStyle w:val="ListBullet0"/>
      </w:pPr>
      <w:r w:rsidRPr="004D4A78">
        <w:t>interpret drawings and technical information</w:t>
      </w:r>
    </w:p>
    <w:p w:rsidR="00352F6F" w:rsidRPr="004D4A78" w:rsidRDefault="00352F6F" w:rsidP="004D4A78">
      <w:pPr>
        <w:pStyle w:val="ListBullet0"/>
      </w:pPr>
      <w:r w:rsidRPr="004D4A78">
        <w:t>analyse manufacturing tasks to organise materials and resources</w:t>
      </w:r>
    </w:p>
    <w:p w:rsidR="00352F6F" w:rsidRPr="004D4A78" w:rsidRDefault="00352F6F" w:rsidP="004D4A78">
      <w:pPr>
        <w:pStyle w:val="ListBullet0"/>
      </w:pPr>
      <w:r w:rsidRPr="004D4A78">
        <w:t>select and apply production skills and procedures in manufacturing tasks</w:t>
      </w:r>
    </w:p>
    <w:p w:rsidR="00352F6F" w:rsidRPr="004D4A78" w:rsidRDefault="00352F6F" w:rsidP="004D4A78">
      <w:pPr>
        <w:pStyle w:val="ListBullet0"/>
      </w:pPr>
      <w:r w:rsidRPr="004D4A78">
        <w:t>use visual representations and language conventions and features to communicate for particular purposes</w:t>
      </w:r>
    </w:p>
    <w:p w:rsidR="00352F6F" w:rsidRPr="004D4A78" w:rsidRDefault="00352F6F" w:rsidP="004D4A78">
      <w:pPr>
        <w:pStyle w:val="ListBullet0"/>
      </w:pPr>
      <w:r w:rsidRPr="004D4A78">
        <w:t>plan and adapt production processes</w:t>
      </w:r>
    </w:p>
    <w:p w:rsidR="00352F6F" w:rsidRPr="004D4A78" w:rsidRDefault="00352F6F" w:rsidP="004D4A78">
      <w:pPr>
        <w:pStyle w:val="ListBullet0"/>
      </w:pPr>
      <w:r w:rsidRPr="004D4A78">
        <w:t>create products from specifications</w:t>
      </w:r>
    </w:p>
    <w:p w:rsidR="00352F6F" w:rsidRPr="004D4A78" w:rsidRDefault="00352F6F" w:rsidP="004D4A78">
      <w:pPr>
        <w:pStyle w:val="ListBullet0"/>
      </w:pPr>
      <w:r w:rsidRPr="004D4A78">
        <w:t>evaluate industry practices, production processes and products, and make recommendations.</w:t>
      </w:r>
    </w:p>
    <w:p w:rsidR="00352F6F" w:rsidRDefault="00352F6F" w:rsidP="00352F6F">
      <w:pPr>
        <w:pStyle w:val="Heading3"/>
        <w:sectPr w:rsidR="00352F6F" w:rsidSect="008F5484">
          <w:type w:val="continuous"/>
          <w:pgSz w:w="11907" w:h="16840" w:code="9"/>
          <w:pgMar w:top="1134" w:right="1418" w:bottom="1701" w:left="1418" w:header="567" w:footer="284" w:gutter="0"/>
          <w:cols w:num="2" w:space="720"/>
          <w:formProt w:val="0"/>
          <w:noEndnote/>
          <w:docGrid w:linePitch="299"/>
        </w:sectPr>
      </w:pPr>
    </w:p>
    <w:p w:rsidR="00352F6F" w:rsidRDefault="00352F6F" w:rsidP="0097740D">
      <w:pPr>
        <w:pStyle w:val="Heading3"/>
        <w:spacing w:before="360"/>
      </w:pPr>
      <w:bookmarkStart w:id="220" w:name="_Toc16163591"/>
      <w:r>
        <w:t>Structure</w:t>
      </w:r>
      <w:bookmarkEnd w:id="220"/>
    </w:p>
    <w:p w:rsidR="00352F6F" w:rsidRDefault="00655003" w:rsidP="00352F6F">
      <w:pPr>
        <w:pStyle w:val="BodyText"/>
      </w:pPr>
      <w:r>
        <w:t xml:space="preserve">The </w:t>
      </w:r>
      <w:r w:rsidR="00352F6F">
        <w:t>Industrial Technology Skills</w:t>
      </w:r>
      <w:r>
        <w:t xml:space="preserve"> course</w:t>
      </w:r>
      <w:r w:rsidR="00352F6F">
        <w:t xml:space="preserve"> is designed around:</w:t>
      </w:r>
    </w:p>
    <w:p w:rsidR="00352F6F" w:rsidRDefault="00352F6F" w:rsidP="00352F6F">
      <w:pPr>
        <w:pStyle w:val="ListBullet0"/>
      </w:pPr>
      <w:bookmarkStart w:id="221" w:name="_Hlk492885756"/>
      <w:r>
        <w:t>core topics</w:t>
      </w:r>
      <w:r w:rsidR="00334DF3">
        <w:t>,</w:t>
      </w:r>
      <w:r>
        <w:t xml:space="preserve"> which are integrated throughout the course</w:t>
      </w:r>
    </w:p>
    <w:p w:rsidR="00352F6F" w:rsidRDefault="00334DF3" w:rsidP="00352F6F">
      <w:pPr>
        <w:pStyle w:val="ListBullet0"/>
      </w:pPr>
      <w:r>
        <w:t>elective topics, organised in industry areas, and manufacturing tasks related to the chosen electives</w:t>
      </w:r>
      <w:r w:rsidR="00352F6F">
        <w:t>.</w:t>
      </w:r>
    </w:p>
    <w:tbl>
      <w:tblPr>
        <w:tblStyle w:val="QCAAtablestyle1"/>
        <w:tblW w:w="4900" w:type="pct"/>
        <w:tblLook w:val="04A0" w:firstRow="1" w:lastRow="0" w:firstColumn="1" w:lastColumn="0" w:noHBand="0" w:noVBand="1"/>
      </w:tblPr>
      <w:tblGrid>
        <w:gridCol w:w="2565"/>
        <w:gridCol w:w="2535"/>
        <w:gridCol w:w="3780"/>
      </w:tblGrid>
      <w:tr w:rsidR="00352F6F" w:rsidTr="00F21AA7">
        <w:trPr>
          <w:cnfStyle w:val="100000000000" w:firstRow="1" w:lastRow="0" w:firstColumn="0" w:lastColumn="0" w:oddVBand="0" w:evenVBand="0" w:oddHBand="0" w:evenHBand="0" w:firstRowFirstColumn="0" w:firstRowLastColumn="0" w:lastRowFirstColumn="0" w:lastRowLastColumn="0"/>
          <w:tblHeader/>
        </w:trPr>
        <w:tc>
          <w:tcPr>
            <w:tcW w:w="2620" w:type="dxa"/>
          </w:tcPr>
          <w:bookmarkEnd w:id="221"/>
          <w:p w:rsidR="00352F6F" w:rsidRDefault="00352F6F" w:rsidP="004D4A78">
            <w:pPr>
              <w:pStyle w:val="Tableheading"/>
            </w:pPr>
            <w:r>
              <w:t>Core</w:t>
            </w:r>
            <w:r w:rsidR="00334DF3">
              <w:t xml:space="preserve"> topics</w:t>
            </w:r>
          </w:p>
        </w:tc>
        <w:tc>
          <w:tcPr>
            <w:tcW w:w="2595" w:type="dxa"/>
          </w:tcPr>
          <w:p w:rsidR="00352F6F" w:rsidRDefault="00352F6F" w:rsidP="004D4A78">
            <w:pPr>
              <w:pStyle w:val="Tableheading"/>
            </w:pPr>
            <w:r>
              <w:t>Industry area</w:t>
            </w:r>
          </w:p>
        </w:tc>
        <w:tc>
          <w:tcPr>
            <w:tcW w:w="3886" w:type="dxa"/>
          </w:tcPr>
          <w:p w:rsidR="00352F6F" w:rsidRDefault="00352F6F" w:rsidP="004D4A78">
            <w:pPr>
              <w:pStyle w:val="Tableheading"/>
            </w:pPr>
            <w:r>
              <w:t>Elective</w:t>
            </w:r>
            <w:r w:rsidR="00334DF3">
              <w:t xml:space="preserve"> topic</w:t>
            </w:r>
            <w:r>
              <w:t>s</w:t>
            </w:r>
          </w:p>
        </w:tc>
      </w:tr>
      <w:tr w:rsidR="00352F6F" w:rsidTr="00F21AA7">
        <w:tc>
          <w:tcPr>
            <w:tcW w:w="2620" w:type="dxa"/>
            <w:vMerge w:val="restart"/>
          </w:tcPr>
          <w:p w:rsidR="00352F6F" w:rsidRDefault="00352F6F" w:rsidP="004D4A78">
            <w:pPr>
              <w:pStyle w:val="TableBullet"/>
            </w:pPr>
            <w:r>
              <w:t>Industry practices</w:t>
            </w:r>
          </w:p>
          <w:p w:rsidR="00352F6F" w:rsidRDefault="00352F6F" w:rsidP="004D4A78">
            <w:pPr>
              <w:pStyle w:val="TableBullet"/>
            </w:pPr>
            <w:r>
              <w:t>Production processes</w:t>
            </w:r>
          </w:p>
        </w:tc>
        <w:tc>
          <w:tcPr>
            <w:tcW w:w="2595" w:type="dxa"/>
          </w:tcPr>
          <w:p w:rsidR="00352F6F" w:rsidRDefault="00352F6F" w:rsidP="004D4A78">
            <w:pPr>
              <w:pStyle w:val="Tabletext"/>
            </w:pPr>
            <w:r>
              <w:t>Aeroskills</w:t>
            </w:r>
          </w:p>
        </w:tc>
        <w:tc>
          <w:tcPr>
            <w:tcW w:w="3886" w:type="dxa"/>
          </w:tcPr>
          <w:p w:rsidR="00352F6F" w:rsidRPr="004D4A78" w:rsidRDefault="00352F6F" w:rsidP="004D4A78">
            <w:pPr>
              <w:pStyle w:val="TableBullet"/>
            </w:pPr>
            <w:r w:rsidRPr="004D4A78">
              <w:t>Aeroskills mechanical</w:t>
            </w:r>
          </w:p>
          <w:p w:rsidR="00352F6F" w:rsidRPr="004D4A78" w:rsidRDefault="00352F6F" w:rsidP="004D4A78">
            <w:pPr>
              <w:pStyle w:val="TableBullet"/>
            </w:pPr>
            <w:r w:rsidRPr="004D4A78">
              <w:t>Aeroskills structures</w:t>
            </w:r>
          </w:p>
        </w:tc>
      </w:tr>
      <w:tr w:rsidR="00352F6F" w:rsidTr="00F21AA7">
        <w:tc>
          <w:tcPr>
            <w:tcW w:w="2620" w:type="dxa"/>
            <w:vMerge/>
          </w:tcPr>
          <w:p w:rsidR="00352F6F" w:rsidRDefault="00352F6F" w:rsidP="00F83C91">
            <w:pPr>
              <w:pStyle w:val="BodyText"/>
            </w:pPr>
          </w:p>
        </w:tc>
        <w:tc>
          <w:tcPr>
            <w:tcW w:w="2595" w:type="dxa"/>
          </w:tcPr>
          <w:p w:rsidR="00352F6F" w:rsidRDefault="00352F6F" w:rsidP="004D4A78">
            <w:pPr>
              <w:pStyle w:val="Tabletext"/>
            </w:pPr>
            <w:r>
              <w:t>Automotive</w:t>
            </w:r>
          </w:p>
        </w:tc>
        <w:tc>
          <w:tcPr>
            <w:tcW w:w="3886" w:type="dxa"/>
          </w:tcPr>
          <w:p w:rsidR="00352F6F" w:rsidRPr="004D4A78" w:rsidRDefault="00352F6F" w:rsidP="004D4A78">
            <w:pPr>
              <w:pStyle w:val="TableBullet"/>
            </w:pPr>
            <w:r w:rsidRPr="004D4A78">
              <w:t xml:space="preserve">Automotive </w:t>
            </w:r>
            <w:r w:rsidR="00334DF3">
              <w:t>mechanical</w:t>
            </w:r>
          </w:p>
          <w:p w:rsidR="00352F6F" w:rsidRPr="004D4A78" w:rsidRDefault="00352F6F" w:rsidP="004D4A78">
            <w:pPr>
              <w:pStyle w:val="TableBullet"/>
            </w:pPr>
            <w:r w:rsidRPr="004D4A78">
              <w:t>Automotive body repair</w:t>
            </w:r>
          </w:p>
          <w:p w:rsidR="00352F6F" w:rsidRPr="004D4A78" w:rsidRDefault="00352F6F" w:rsidP="004D4A78">
            <w:pPr>
              <w:pStyle w:val="TableBullet"/>
            </w:pPr>
            <w:r w:rsidRPr="004D4A78">
              <w:t>Automotive electrical</w:t>
            </w:r>
          </w:p>
        </w:tc>
      </w:tr>
    </w:tbl>
    <w:p w:rsidR="00F21AA7" w:rsidRDefault="00F21AA7" w:rsidP="00F21AA7"/>
    <w:p w:rsidR="008B5AD0" w:rsidRDefault="008B5AD0" w:rsidP="00F21AA7"/>
    <w:tbl>
      <w:tblPr>
        <w:tblStyle w:val="QCAAtablestyle3"/>
        <w:tblW w:w="4900" w:type="pct"/>
        <w:tblLook w:val="04A0" w:firstRow="1" w:lastRow="0" w:firstColumn="1" w:lastColumn="0" w:noHBand="0" w:noVBand="1"/>
      </w:tblPr>
      <w:tblGrid>
        <w:gridCol w:w="2539"/>
        <w:gridCol w:w="2541"/>
        <w:gridCol w:w="3800"/>
      </w:tblGrid>
      <w:tr w:rsidR="00F21AA7" w:rsidTr="008B5AD0">
        <w:trPr>
          <w:cnfStyle w:val="100000000000" w:firstRow="1" w:lastRow="0" w:firstColumn="0" w:lastColumn="0" w:oddVBand="0" w:evenVBand="0" w:oddHBand="0" w:evenHBand="0" w:firstRowFirstColumn="0" w:firstRowLastColumn="0" w:lastRowFirstColumn="0" w:lastRowLastColumn="0"/>
        </w:trPr>
        <w:tc>
          <w:tcPr>
            <w:tcW w:w="2587" w:type="dxa"/>
            <w:vMerge w:val="restart"/>
          </w:tcPr>
          <w:p w:rsidR="00F21AA7" w:rsidRDefault="00F21AA7" w:rsidP="008925A1">
            <w:pPr>
              <w:pStyle w:val="BodyText"/>
            </w:pPr>
          </w:p>
        </w:tc>
        <w:tc>
          <w:tcPr>
            <w:tcW w:w="2569" w:type="dxa"/>
          </w:tcPr>
          <w:p w:rsidR="00F21AA7" w:rsidRDefault="00F21AA7" w:rsidP="008925A1">
            <w:pPr>
              <w:pStyle w:val="Tabletext"/>
            </w:pPr>
            <w:r>
              <w:t>Building and construction</w:t>
            </w:r>
          </w:p>
        </w:tc>
        <w:tc>
          <w:tcPr>
            <w:tcW w:w="3845" w:type="dxa"/>
          </w:tcPr>
          <w:p w:rsidR="00F21AA7" w:rsidRPr="004D4A78" w:rsidRDefault="00F21AA7" w:rsidP="008925A1">
            <w:pPr>
              <w:pStyle w:val="TableBullet"/>
            </w:pPr>
            <w:r w:rsidRPr="004D4A78">
              <w:t>Bricklaying</w:t>
            </w:r>
          </w:p>
          <w:p w:rsidR="00F21AA7" w:rsidRPr="004D4A78" w:rsidRDefault="00F21AA7" w:rsidP="008925A1">
            <w:pPr>
              <w:pStyle w:val="TableBullet"/>
            </w:pPr>
            <w:r w:rsidRPr="004D4A78">
              <w:t>Plastering and painting</w:t>
            </w:r>
          </w:p>
          <w:p w:rsidR="00F21AA7" w:rsidRPr="004D4A78" w:rsidRDefault="00F21AA7" w:rsidP="008925A1">
            <w:pPr>
              <w:pStyle w:val="TableBullet"/>
            </w:pPr>
            <w:r w:rsidRPr="004D4A78">
              <w:t>Concreting</w:t>
            </w:r>
          </w:p>
          <w:p w:rsidR="00F21AA7" w:rsidRPr="004D4A78" w:rsidRDefault="00F21AA7" w:rsidP="008925A1">
            <w:pPr>
              <w:pStyle w:val="TableBullet"/>
            </w:pPr>
            <w:r w:rsidRPr="004D4A78">
              <w:t>Carpentry</w:t>
            </w:r>
          </w:p>
          <w:p w:rsidR="00F21AA7" w:rsidRPr="004D4A78" w:rsidRDefault="00F21AA7" w:rsidP="008925A1">
            <w:pPr>
              <w:pStyle w:val="TableBullet"/>
            </w:pPr>
            <w:r w:rsidRPr="004D4A78">
              <w:t>Tiling</w:t>
            </w:r>
          </w:p>
          <w:p w:rsidR="00F21AA7" w:rsidRPr="004D4A78" w:rsidRDefault="00F21AA7" w:rsidP="008925A1">
            <w:pPr>
              <w:pStyle w:val="TableBullet"/>
            </w:pPr>
            <w:r w:rsidRPr="004D4A78">
              <w:t>Landscaping</w:t>
            </w:r>
          </w:p>
        </w:tc>
      </w:tr>
      <w:tr w:rsidR="00F21AA7" w:rsidTr="008B5AD0">
        <w:tc>
          <w:tcPr>
            <w:tcW w:w="2587" w:type="dxa"/>
            <w:vMerge/>
          </w:tcPr>
          <w:p w:rsidR="00F21AA7" w:rsidRDefault="00F21AA7" w:rsidP="008925A1">
            <w:pPr>
              <w:pStyle w:val="BodyText"/>
            </w:pPr>
          </w:p>
        </w:tc>
        <w:tc>
          <w:tcPr>
            <w:tcW w:w="2569" w:type="dxa"/>
          </w:tcPr>
          <w:p w:rsidR="00F21AA7" w:rsidRDefault="00F21AA7" w:rsidP="008925A1">
            <w:pPr>
              <w:pStyle w:val="Tabletext"/>
            </w:pPr>
            <w:r>
              <w:t>Engineering</w:t>
            </w:r>
          </w:p>
        </w:tc>
        <w:tc>
          <w:tcPr>
            <w:tcW w:w="3845" w:type="dxa"/>
          </w:tcPr>
          <w:p w:rsidR="00F21AA7" w:rsidRPr="004D4A78" w:rsidRDefault="00F21AA7" w:rsidP="008925A1">
            <w:pPr>
              <w:pStyle w:val="TableBullet"/>
            </w:pPr>
            <w:r w:rsidRPr="004D4A78">
              <w:t>Sheet metal working</w:t>
            </w:r>
          </w:p>
          <w:p w:rsidR="00F21AA7" w:rsidRPr="004D4A78" w:rsidRDefault="00F21AA7" w:rsidP="008925A1">
            <w:pPr>
              <w:pStyle w:val="TableBullet"/>
            </w:pPr>
            <w:r w:rsidRPr="004D4A78">
              <w:t>Welding and fabrication</w:t>
            </w:r>
          </w:p>
          <w:p w:rsidR="00F21AA7" w:rsidRPr="004D4A78" w:rsidRDefault="00F21AA7" w:rsidP="008925A1">
            <w:pPr>
              <w:pStyle w:val="TableBullet"/>
            </w:pPr>
            <w:r w:rsidRPr="004D4A78">
              <w:t>Fitting and machining</w:t>
            </w:r>
          </w:p>
        </w:tc>
      </w:tr>
      <w:tr w:rsidR="00F21AA7" w:rsidTr="008B5AD0">
        <w:tc>
          <w:tcPr>
            <w:tcW w:w="2587" w:type="dxa"/>
            <w:vMerge/>
          </w:tcPr>
          <w:p w:rsidR="00F21AA7" w:rsidRDefault="00F21AA7" w:rsidP="008925A1">
            <w:pPr>
              <w:pStyle w:val="BodyText"/>
            </w:pPr>
          </w:p>
        </w:tc>
        <w:tc>
          <w:tcPr>
            <w:tcW w:w="2569" w:type="dxa"/>
          </w:tcPr>
          <w:p w:rsidR="00F21AA7" w:rsidRDefault="00F21AA7" w:rsidP="008925A1">
            <w:pPr>
              <w:pStyle w:val="Tabletext"/>
            </w:pPr>
            <w:r>
              <w:t>Furnishing</w:t>
            </w:r>
          </w:p>
        </w:tc>
        <w:tc>
          <w:tcPr>
            <w:tcW w:w="3845" w:type="dxa"/>
          </w:tcPr>
          <w:p w:rsidR="00F21AA7" w:rsidRPr="004D4A78" w:rsidRDefault="00F21AA7" w:rsidP="008925A1">
            <w:pPr>
              <w:pStyle w:val="TableBullet"/>
            </w:pPr>
            <w:r w:rsidRPr="004D4A78">
              <w:t>Cabinet-making</w:t>
            </w:r>
          </w:p>
          <w:p w:rsidR="00F21AA7" w:rsidRPr="004D4A78" w:rsidRDefault="00F21AA7" w:rsidP="008925A1">
            <w:pPr>
              <w:pStyle w:val="TableBullet"/>
            </w:pPr>
            <w:r w:rsidRPr="004D4A78">
              <w:t>Furniture finishing</w:t>
            </w:r>
          </w:p>
          <w:p w:rsidR="00F21AA7" w:rsidRPr="004D4A78" w:rsidRDefault="00F21AA7" w:rsidP="008925A1">
            <w:pPr>
              <w:pStyle w:val="TableBullet"/>
            </w:pPr>
            <w:r w:rsidRPr="004D4A78">
              <w:t>Furniture-making</w:t>
            </w:r>
          </w:p>
          <w:p w:rsidR="00F21AA7" w:rsidRPr="004D4A78" w:rsidRDefault="00F21AA7" w:rsidP="008925A1">
            <w:pPr>
              <w:pStyle w:val="TableBullet"/>
            </w:pPr>
            <w:r w:rsidRPr="004D4A78">
              <w:t>Glazing and framing</w:t>
            </w:r>
          </w:p>
          <w:p w:rsidR="00F21AA7" w:rsidRPr="004D4A78" w:rsidRDefault="00F21AA7" w:rsidP="008925A1">
            <w:pPr>
              <w:pStyle w:val="TableBullet"/>
            </w:pPr>
            <w:r w:rsidRPr="004D4A78">
              <w:t>Upholstery</w:t>
            </w:r>
          </w:p>
        </w:tc>
      </w:tr>
      <w:tr w:rsidR="00F21AA7" w:rsidTr="008B5AD0">
        <w:tc>
          <w:tcPr>
            <w:tcW w:w="2587" w:type="dxa"/>
            <w:vMerge/>
          </w:tcPr>
          <w:p w:rsidR="00F21AA7" w:rsidRDefault="00F21AA7" w:rsidP="008925A1">
            <w:pPr>
              <w:pStyle w:val="BodyText"/>
            </w:pPr>
          </w:p>
        </w:tc>
        <w:tc>
          <w:tcPr>
            <w:tcW w:w="2569" w:type="dxa"/>
          </w:tcPr>
          <w:p w:rsidR="00F21AA7" w:rsidRDefault="00F21AA7" w:rsidP="008925A1">
            <w:pPr>
              <w:pStyle w:val="Tabletext"/>
            </w:pPr>
            <w:r>
              <w:t>Industrial graphics</w:t>
            </w:r>
          </w:p>
        </w:tc>
        <w:tc>
          <w:tcPr>
            <w:tcW w:w="3845" w:type="dxa"/>
          </w:tcPr>
          <w:p w:rsidR="00F21AA7" w:rsidRDefault="00F21AA7" w:rsidP="008925A1">
            <w:pPr>
              <w:pStyle w:val="TableBullet"/>
            </w:pPr>
            <w:r>
              <w:t>Engineering drafting</w:t>
            </w:r>
          </w:p>
          <w:p w:rsidR="00F21AA7" w:rsidRDefault="00F21AA7" w:rsidP="008925A1">
            <w:pPr>
              <w:pStyle w:val="TableBullet"/>
            </w:pPr>
            <w:r>
              <w:t>Building and construction drafting</w:t>
            </w:r>
          </w:p>
          <w:p w:rsidR="00F21AA7" w:rsidRDefault="00F21AA7" w:rsidP="008925A1">
            <w:pPr>
              <w:pStyle w:val="TableBullet"/>
            </w:pPr>
            <w:r>
              <w:t>Furnishing drafting</w:t>
            </w:r>
          </w:p>
        </w:tc>
      </w:tr>
      <w:tr w:rsidR="00F21AA7" w:rsidTr="008B5AD0">
        <w:tc>
          <w:tcPr>
            <w:tcW w:w="2587" w:type="dxa"/>
            <w:vMerge/>
          </w:tcPr>
          <w:p w:rsidR="00F21AA7" w:rsidRDefault="00F21AA7" w:rsidP="008925A1">
            <w:pPr>
              <w:pStyle w:val="BodyText"/>
            </w:pPr>
          </w:p>
        </w:tc>
        <w:tc>
          <w:tcPr>
            <w:tcW w:w="2569" w:type="dxa"/>
          </w:tcPr>
          <w:p w:rsidR="00F21AA7" w:rsidRDefault="00F21AA7" w:rsidP="008925A1">
            <w:pPr>
              <w:pStyle w:val="Tabletext"/>
            </w:pPr>
            <w:r>
              <w:t>Plastics</w:t>
            </w:r>
          </w:p>
        </w:tc>
        <w:tc>
          <w:tcPr>
            <w:tcW w:w="3845" w:type="dxa"/>
          </w:tcPr>
          <w:p w:rsidR="00F21AA7" w:rsidRDefault="00F21AA7" w:rsidP="008925A1">
            <w:pPr>
              <w:pStyle w:val="TableBullet"/>
            </w:pPr>
            <w:r>
              <w:t>Thermoplastics fabrication</w:t>
            </w:r>
          </w:p>
          <w:p w:rsidR="00F21AA7" w:rsidRDefault="00F21AA7" w:rsidP="008925A1">
            <w:pPr>
              <w:pStyle w:val="TableBullet"/>
            </w:pPr>
            <w:r>
              <w:t>Thermosetting fabrication</w:t>
            </w:r>
          </w:p>
        </w:tc>
      </w:tr>
    </w:tbl>
    <w:p w:rsidR="00F21AA7" w:rsidRPr="00F21AA7" w:rsidRDefault="00F21AA7" w:rsidP="00F21AA7"/>
    <w:p w:rsidR="00352F6F" w:rsidRDefault="00352F6F" w:rsidP="00352F6F">
      <w:pPr>
        <w:pStyle w:val="Heading3"/>
      </w:pPr>
      <w:bookmarkStart w:id="222" w:name="_Toc16163592"/>
      <w:r>
        <w:t>Assessment</w:t>
      </w:r>
      <w:bookmarkEnd w:id="222"/>
    </w:p>
    <w:p w:rsidR="00352F6F" w:rsidRDefault="00142FE3" w:rsidP="00352F6F">
      <w:pPr>
        <w:pStyle w:val="BodyText"/>
        <w:spacing w:before="120"/>
        <w:rPr>
          <w:noProof/>
        </w:rPr>
      </w:pPr>
      <w:bookmarkStart w:id="223" w:name="_Hlk492889102"/>
      <w:r>
        <w:rPr>
          <w:noProof/>
        </w:rPr>
        <w:t>For Industrial Technology Skills, a</w:t>
      </w:r>
      <w:r w:rsidR="00352F6F">
        <w:rPr>
          <w:noProof/>
        </w:rPr>
        <w:t>ssessment from Units 3 and 4 is used to determine the student’s exit result,</w:t>
      </w:r>
      <w:r>
        <w:rPr>
          <w:noProof/>
        </w:rPr>
        <w:t xml:space="preserve"> and</w:t>
      </w:r>
      <w:r w:rsidR="00352F6F">
        <w:rPr>
          <w:noProof/>
        </w:rPr>
        <w:t xml:space="preserve"> this consists of four instruments</w:t>
      </w:r>
      <w:r>
        <w:rPr>
          <w:noProof/>
        </w:rPr>
        <w:t>, including</w:t>
      </w:r>
      <w:r w:rsidR="00352F6F">
        <w:rPr>
          <w:noProof/>
        </w:rPr>
        <w:t>:</w:t>
      </w:r>
    </w:p>
    <w:p w:rsidR="00352F6F" w:rsidRPr="001F511F" w:rsidRDefault="00352F6F" w:rsidP="001F511F">
      <w:pPr>
        <w:pStyle w:val="ListBullet0"/>
      </w:pPr>
      <w:r w:rsidRPr="001F511F">
        <w:t>at least two projects</w:t>
      </w:r>
    </w:p>
    <w:p w:rsidR="00352F6F" w:rsidRDefault="00352F6F" w:rsidP="00BC1B19">
      <w:pPr>
        <w:pStyle w:val="ListBullet0"/>
        <w:rPr>
          <w:noProof/>
        </w:rPr>
      </w:pPr>
      <w:r w:rsidRPr="001F511F">
        <w:t>at least</w:t>
      </w:r>
      <w:r>
        <w:rPr>
          <w:noProof/>
        </w:rPr>
        <w:t xml:space="preserve"> one practical demonstration (separate to the assessable component of a project).</w:t>
      </w:r>
    </w:p>
    <w:tbl>
      <w:tblPr>
        <w:tblStyle w:val="QCAAtablestyle1"/>
        <w:tblW w:w="4900" w:type="pct"/>
        <w:tblLook w:val="04A0" w:firstRow="1" w:lastRow="0" w:firstColumn="1" w:lastColumn="0" w:noHBand="0" w:noVBand="1"/>
      </w:tblPr>
      <w:tblGrid>
        <w:gridCol w:w="2969"/>
        <w:gridCol w:w="2959"/>
        <w:gridCol w:w="2952"/>
      </w:tblGrid>
      <w:tr w:rsidR="00352F6F" w:rsidTr="00AE60BC">
        <w:trPr>
          <w:cnfStyle w:val="100000000000" w:firstRow="1" w:lastRow="0" w:firstColumn="0" w:lastColumn="0" w:oddVBand="0" w:evenVBand="0" w:oddHBand="0" w:evenHBand="0" w:firstRowFirstColumn="0" w:firstRowLastColumn="0" w:lastRowFirstColumn="0" w:lastRowLastColumn="0"/>
        </w:trPr>
        <w:tc>
          <w:tcPr>
            <w:tcW w:w="2990" w:type="dxa"/>
          </w:tcPr>
          <w:p w:rsidR="00352F6F" w:rsidRDefault="00352F6F" w:rsidP="00FC4AAD">
            <w:pPr>
              <w:pStyle w:val="TableHeading0"/>
              <w:rPr>
                <w:noProof/>
              </w:rPr>
            </w:pPr>
            <w:r>
              <w:rPr>
                <w:noProof/>
              </w:rPr>
              <w:t>Project</w:t>
            </w:r>
          </w:p>
        </w:tc>
        <w:tc>
          <w:tcPr>
            <w:tcW w:w="2981" w:type="dxa"/>
          </w:tcPr>
          <w:p w:rsidR="00352F6F" w:rsidRDefault="00352F6F" w:rsidP="00FC4AAD">
            <w:pPr>
              <w:pStyle w:val="TableHeading0"/>
              <w:rPr>
                <w:noProof/>
              </w:rPr>
            </w:pPr>
            <w:r>
              <w:rPr>
                <w:noProof/>
              </w:rPr>
              <w:t>Practical demonstration</w:t>
            </w:r>
          </w:p>
        </w:tc>
        <w:tc>
          <w:tcPr>
            <w:tcW w:w="2977" w:type="dxa"/>
          </w:tcPr>
          <w:p w:rsidR="00352F6F" w:rsidRDefault="00352F6F" w:rsidP="00FC4AAD">
            <w:pPr>
              <w:pStyle w:val="TableHeading0"/>
              <w:rPr>
                <w:noProof/>
              </w:rPr>
            </w:pPr>
            <w:r>
              <w:rPr>
                <w:noProof/>
              </w:rPr>
              <w:t>Examination</w:t>
            </w:r>
          </w:p>
        </w:tc>
      </w:tr>
      <w:tr w:rsidR="00352F6F" w:rsidTr="00AE60BC">
        <w:tc>
          <w:tcPr>
            <w:tcW w:w="2990" w:type="dxa"/>
          </w:tcPr>
          <w:p w:rsidR="00352F6F" w:rsidRDefault="00352F6F" w:rsidP="001F511F">
            <w:pPr>
              <w:pStyle w:val="Tabletext"/>
              <w:rPr>
                <w:noProof/>
              </w:rPr>
            </w:pPr>
            <w:r>
              <w:rPr>
                <w:noProof/>
              </w:rPr>
              <w:t>A response to a single task, situation and/or scenario.</w:t>
            </w:r>
          </w:p>
        </w:tc>
        <w:tc>
          <w:tcPr>
            <w:tcW w:w="2981" w:type="dxa"/>
          </w:tcPr>
          <w:p w:rsidR="00352F6F" w:rsidRDefault="00352F6F" w:rsidP="001F511F">
            <w:pPr>
              <w:pStyle w:val="Tabletext"/>
              <w:rPr>
                <w:noProof/>
              </w:rPr>
            </w:pPr>
            <w:r>
              <w:rPr>
                <w:noProof/>
              </w:rPr>
              <w:t>A task that assesses the practical application of a specific set of teacher-identified production skills and procedures.</w:t>
            </w:r>
          </w:p>
        </w:tc>
        <w:tc>
          <w:tcPr>
            <w:tcW w:w="2977" w:type="dxa"/>
          </w:tcPr>
          <w:p w:rsidR="00352F6F" w:rsidRDefault="00352F6F" w:rsidP="001F511F">
            <w:pPr>
              <w:pStyle w:val="Tabletext"/>
              <w:rPr>
                <w:noProof/>
              </w:rPr>
            </w:pPr>
            <w:r>
              <w:rPr>
                <w:noProof/>
              </w:rPr>
              <w:t>A response that answers a number of provided questions, scenarios and/or problems.</w:t>
            </w:r>
          </w:p>
        </w:tc>
      </w:tr>
      <w:tr w:rsidR="00352F6F" w:rsidTr="00AE60BC">
        <w:tc>
          <w:tcPr>
            <w:tcW w:w="2990" w:type="dxa"/>
          </w:tcPr>
          <w:p w:rsidR="00352F6F" w:rsidRDefault="00352F6F" w:rsidP="001F511F">
            <w:pPr>
              <w:pStyle w:val="Tabletext"/>
              <w:rPr>
                <w:noProof/>
              </w:rPr>
            </w:pPr>
            <w:bookmarkStart w:id="224" w:name="_Hlk492907355"/>
            <w:r>
              <w:rPr>
                <w:noProof/>
              </w:rPr>
              <w:t>A project consists of a product component and at least one of the following components:</w:t>
            </w:r>
          </w:p>
          <w:p w:rsidR="00352F6F" w:rsidRDefault="0052019A" w:rsidP="001F511F">
            <w:pPr>
              <w:pStyle w:val="TableBullet"/>
              <w:rPr>
                <w:noProof/>
              </w:rPr>
            </w:pPr>
            <w:r>
              <w:rPr>
                <w:noProof/>
              </w:rPr>
              <w:t>w</w:t>
            </w:r>
            <w:r w:rsidR="00352F6F">
              <w:rPr>
                <w:noProof/>
              </w:rPr>
              <w:t>ritten: 500</w:t>
            </w:r>
            <w:r w:rsidR="001F511F">
              <w:rPr>
                <w:noProof/>
              </w:rPr>
              <w:t>–</w:t>
            </w:r>
            <w:r w:rsidR="00352F6F">
              <w:rPr>
                <w:noProof/>
              </w:rPr>
              <w:t>900 words</w:t>
            </w:r>
          </w:p>
          <w:p w:rsidR="00352F6F" w:rsidRDefault="0052019A" w:rsidP="001F511F">
            <w:pPr>
              <w:pStyle w:val="TableBullet"/>
              <w:rPr>
                <w:noProof/>
              </w:rPr>
            </w:pPr>
            <w:r>
              <w:rPr>
                <w:noProof/>
              </w:rPr>
              <w:t>s</w:t>
            </w:r>
            <w:r w:rsidR="00352F6F">
              <w:rPr>
                <w:noProof/>
              </w:rPr>
              <w:t>poken: 2½</w:t>
            </w:r>
            <w:r w:rsidR="001F511F">
              <w:rPr>
                <w:noProof/>
              </w:rPr>
              <w:t>–</w:t>
            </w:r>
            <w:r w:rsidR="00352F6F">
              <w:rPr>
                <w:noProof/>
              </w:rPr>
              <w:t>3½ minutes</w:t>
            </w:r>
          </w:p>
          <w:p w:rsidR="00352F6F" w:rsidRDefault="0052019A" w:rsidP="001F511F">
            <w:pPr>
              <w:pStyle w:val="TableBullet"/>
              <w:rPr>
                <w:noProof/>
              </w:rPr>
            </w:pPr>
            <w:r>
              <w:rPr>
                <w:noProof/>
              </w:rPr>
              <w:t>multimodal</w:t>
            </w:r>
          </w:p>
          <w:p w:rsidR="00352F6F" w:rsidRPr="004B5ECE" w:rsidRDefault="001F511F" w:rsidP="001F511F">
            <w:pPr>
              <w:pStyle w:val="TableBullet2"/>
              <w:rPr>
                <w:noProof/>
                <w:lang w:val="fr-FR"/>
              </w:rPr>
            </w:pPr>
            <w:r w:rsidRPr="004B5ECE">
              <w:rPr>
                <w:noProof/>
                <w:lang w:val="fr-FR"/>
              </w:rPr>
              <w:t>n</w:t>
            </w:r>
            <w:r w:rsidR="0052019A" w:rsidRPr="004B5ECE">
              <w:rPr>
                <w:noProof/>
                <w:lang w:val="fr-FR"/>
              </w:rPr>
              <w:t xml:space="preserve">on-presentation: </w:t>
            </w:r>
            <w:r w:rsidR="00352F6F" w:rsidRPr="004B5ECE">
              <w:rPr>
                <w:noProof/>
                <w:lang w:val="fr-FR"/>
              </w:rPr>
              <w:t>8 A4 pages max (or equivalent)</w:t>
            </w:r>
          </w:p>
          <w:p w:rsidR="00352F6F" w:rsidRDefault="001F511F" w:rsidP="001F511F">
            <w:pPr>
              <w:pStyle w:val="TableBullet2"/>
              <w:rPr>
                <w:noProof/>
              </w:rPr>
            </w:pPr>
            <w:r>
              <w:rPr>
                <w:noProof/>
              </w:rPr>
              <w:t>p</w:t>
            </w:r>
            <w:r w:rsidR="0052019A">
              <w:rPr>
                <w:noProof/>
              </w:rPr>
              <w:t>resentation:</w:t>
            </w:r>
            <w:r>
              <w:rPr>
                <w:noProof/>
              </w:rPr>
              <w:t xml:space="preserve"> </w:t>
            </w:r>
            <w:r w:rsidR="00352F6F">
              <w:rPr>
                <w:noProof/>
              </w:rPr>
              <w:t>3</w:t>
            </w:r>
            <w:r>
              <w:rPr>
                <w:noProof/>
              </w:rPr>
              <w:t>–</w:t>
            </w:r>
            <w:r w:rsidR="00352F6F">
              <w:rPr>
                <w:noProof/>
              </w:rPr>
              <w:t>6 minutes</w:t>
            </w:r>
          </w:p>
          <w:p w:rsidR="00352F6F" w:rsidRDefault="0052019A" w:rsidP="001F511F">
            <w:pPr>
              <w:pStyle w:val="TableBullet"/>
              <w:rPr>
                <w:noProof/>
              </w:rPr>
            </w:pPr>
            <w:r>
              <w:rPr>
                <w:noProof/>
              </w:rPr>
              <w:t xml:space="preserve">product: </w:t>
            </w:r>
            <w:r w:rsidR="00352F6F">
              <w:rPr>
                <w:noProof/>
              </w:rPr>
              <w:t>continuous class time</w:t>
            </w:r>
            <w:r w:rsidR="001F511F">
              <w:rPr>
                <w:noProof/>
              </w:rPr>
              <w:t>.</w:t>
            </w:r>
          </w:p>
        </w:tc>
        <w:tc>
          <w:tcPr>
            <w:tcW w:w="2981" w:type="dxa"/>
          </w:tcPr>
          <w:p w:rsidR="00352F6F" w:rsidRDefault="00352F6F" w:rsidP="001F511F">
            <w:pPr>
              <w:pStyle w:val="Tabletext"/>
              <w:rPr>
                <w:noProof/>
              </w:rPr>
            </w:pPr>
            <w:r>
              <w:rPr>
                <w:noProof/>
              </w:rPr>
              <w:t>Students demonstrate production skills and procedures in class under teacher supervision.</w:t>
            </w:r>
          </w:p>
        </w:tc>
        <w:tc>
          <w:tcPr>
            <w:tcW w:w="2977" w:type="dxa"/>
          </w:tcPr>
          <w:p w:rsidR="00352F6F" w:rsidRDefault="00352F6F" w:rsidP="001F511F">
            <w:pPr>
              <w:pStyle w:val="TableBullet"/>
              <w:rPr>
                <w:noProof/>
              </w:rPr>
            </w:pPr>
            <w:r>
              <w:rPr>
                <w:noProof/>
              </w:rPr>
              <w:t>60</w:t>
            </w:r>
            <w:r w:rsidR="001F511F">
              <w:rPr>
                <w:noProof/>
              </w:rPr>
              <w:t>–</w:t>
            </w:r>
            <w:r>
              <w:rPr>
                <w:noProof/>
              </w:rPr>
              <w:t>90 minutes</w:t>
            </w:r>
          </w:p>
          <w:p w:rsidR="00352F6F" w:rsidRDefault="00352F6F" w:rsidP="001F511F">
            <w:pPr>
              <w:pStyle w:val="TableBullet"/>
              <w:rPr>
                <w:noProof/>
              </w:rPr>
            </w:pPr>
            <w:r>
              <w:rPr>
                <w:noProof/>
              </w:rPr>
              <w:t>50</w:t>
            </w:r>
            <w:r w:rsidR="001F511F">
              <w:rPr>
                <w:noProof/>
              </w:rPr>
              <w:t>–</w:t>
            </w:r>
            <w:r>
              <w:rPr>
                <w:noProof/>
              </w:rPr>
              <w:t xml:space="preserve">250 words per item </w:t>
            </w:r>
          </w:p>
        </w:tc>
      </w:tr>
      <w:bookmarkEnd w:id="224"/>
    </w:tbl>
    <w:p w:rsidR="00352F6F" w:rsidRDefault="00352F6F" w:rsidP="00352F6F">
      <w:r>
        <w:br w:type="page"/>
      </w:r>
    </w:p>
    <w:bookmarkEnd w:id="223"/>
    <w:p w:rsidR="00C203A1" w:rsidRPr="00C203A1" w:rsidRDefault="00C203A1" w:rsidP="00C203A1"/>
    <w:p w:rsidR="00F91BF4" w:rsidRDefault="00F91BF4" w:rsidP="00F91BF4"/>
    <w:tbl>
      <w:tblPr>
        <w:tblStyle w:val="TextLayout"/>
        <w:tblW w:w="5650" w:type="pct"/>
        <w:tblInd w:w="-170" w:type="dxa"/>
        <w:tblLayout w:type="fixed"/>
        <w:tblLook w:val="04A0" w:firstRow="1" w:lastRow="0" w:firstColumn="1" w:lastColumn="0" w:noHBand="0" w:noVBand="1"/>
      </w:tblPr>
      <w:tblGrid>
        <w:gridCol w:w="141"/>
        <w:gridCol w:w="9264"/>
        <w:gridCol w:w="845"/>
      </w:tblGrid>
      <w:tr w:rsidR="00C423A4" w:rsidRPr="003B6F39" w:rsidTr="002037BC">
        <w:trPr>
          <w:trHeight w:hRule="exact" w:val="851"/>
        </w:trPr>
        <w:tc>
          <w:tcPr>
            <w:tcW w:w="142" w:type="dxa"/>
            <w:shd w:val="clear" w:color="auto" w:fill="007852"/>
          </w:tcPr>
          <w:p w:rsidR="00C423A4" w:rsidRDefault="00C423A4" w:rsidP="002037BC">
            <w:pPr>
              <w:pStyle w:val="Tabletext"/>
            </w:pPr>
          </w:p>
        </w:tc>
        <w:tc>
          <w:tcPr>
            <w:tcW w:w="9323" w:type="dxa"/>
            <w:tcMar>
              <w:left w:w="57" w:type="dxa"/>
            </w:tcMar>
            <w:vAlign w:val="center"/>
          </w:tcPr>
          <w:p w:rsidR="00C423A4" w:rsidRDefault="00C423A4" w:rsidP="00F601D0">
            <w:pPr>
              <w:pStyle w:val="SubjectHeading"/>
            </w:pPr>
            <w:r>
              <w:t>Physical Education</w:t>
            </w:r>
          </w:p>
          <w:p w:rsidR="00C423A4" w:rsidRPr="00E86C01" w:rsidRDefault="00C423A4" w:rsidP="002037BC">
            <w:pPr>
              <w:pStyle w:val="Heading3"/>
              <w:spacing w:before="0" w:after="0"/>
            </w:pPr>
            <w:bookmarkStart w:id="225" w:name="_Toc16163593"/>
            <w:r>
              <w:t>General senior subject</w:t>
            </w:r>
            <w:bookmarkEnd w:id="225"/>
          </w:p>
        </w:tc>
        <w:tc>
          <w:tcPr>
            <w:tcW w:w="850" w:type="dxa"/>
            <w:shd w:val="clear" w:color="auto" w:fill="007852"/>
            <w:tcMar>
              <w:bottom w:w="28" w:type="dxa"/>
              <w:right w:w="57" w:type="dxa"/>
            </w:tcMar>
            <w:vAlign w:val="bottom"/>
          </w:tcPr>
          <w:p w:rsidR="00C423A4" w:rsidRPr="00BE0C34" w:rsidRDefault="00C423A4" w:rsidP="002037BC">
            <w:pPr>
              <w:pStyle w:val="Heading3"/>
              <w:spacing w:before="0" w:after="100" w:afterAutospacing="1"/>
              <w:jc w:val="right"/>
              <w:rPr>
                <w:color w:val="FFFFFF" w:themeColor="background1"/>
                <w:sz w:val="17"/>
                <w:szCs w:val="17"/>
              </w:rPr>
            </w:pPr>
            <w:bookmarkStart w:id="226" w:name="_Toc16163594"/>
            <w:r>
              <w:rPr>
                <w:color w:val="FFFFFF" w:themeColor="background1"/>
                <w:sz w:val="17"/>
                <w:szCs w:val="17"/>
              </w:rPr>
              <w:t>General</w:t>
            </w:r>
            <w:bookmarkEnd w:id="226"/>
          </w:p>
        </w:tc>
      </w:tr>
      <w:tr w:rsidR="004D730A" w:rsidRPr="003B6F39" w:rsidTr="00B36316">
        <w:trPr>
          <w:trHeight w:hRule="exact" w:val="113"/>
        </w:trPr>
        <w:tc>
          <w:tcPr>
            <w:tcW w:w="10315" w:type="dxa"/>
            <w:gridSpan w:val="3"/>
            <w:shd w:val="clear" w:color="auto" w:fill="auto"/>
          </w:tcPr>
          <w:p w:rsidR="004D730A" w:rsidRDefault="004D730A" w:rsidP="00B36316">
            <w:pPr>
              <w:pStyle w:val="Heading3"/>
              <w:spacing w:before="0" w:after="100" w:afterAutospacing="1"/>
              <w:rPr>
                <w:color w:val="FFFFFF" w:themeColor="background1"/>
                <w:sz w:val="17"/>
                <w:szCs w:val="17"/>
              </w:rPr>
            </w:pPr>
          </w:p>
        </w:tc>
      </w:tr>
    </w:tbl>
    <w:p w:rsidR="00BC1A74" w:rsidRDefault="00BC1A74" w:rsidP="005B299D">
      <w:pPr>
        <w:sectPr w:rsidR="00BC1A74" w:rsidSect="008F5484">
          <w:headerReference w:type="default" r:id="rId35"/>
          <w:type w:val="continuous"/>
          <w:pgSz w:w="11907" w:h="16840" w:code="9"/>
          <w:pgMar w:top="1134" w:right="1418" w:bottom="1701" w:left="1418" w:header="567" w:footer="284" w:gutter="0"/>
          <w:cols w:space="720"/>
          <w:formProt w:val="0"/>
          <w:noEndnote/>
          <w:docGrid w:linePitch="299"/>
        </w:sectPr>
      </w:pPr>
    </w:p>
    <w:p w:rsidR="00BC1A74" w:rsidRDefault="00BC1A74" w:rsidP="00BC1A74">
      <w:pPr>
        <w:pStyle w:val="BodyText"/>
      </w:pPr>
      <w:r>
        <w:t xml:space="preserve">Physical Education </w:t>
      </w:r>
      <w:r>
        <w:fldChar w:fldCharType="begin"/>
      </w:r>
      <w:r>
        <w:instrText xml:space="preserve"> TC  "</w:instrText>
      </w:r>
      <w:bookmarkStart w:id="227" w:name="_Toc495675602"/>
      <w:r>
        <w:instrText>Health and Physical Education</w:instrText>
      </w:r>
      <w:bookmarkEnd w:id="227"/>
      <w:r>
        <w:instrText xml:space="preserve">" \l 2 </w:instrText>
      </w:r>
      <w:r>
        <w:fldChar w:fldCharType="end"/>
      </w:r>
      <w:r w:rsidRPr="00BA6B7F">
        <w:t xml:space="preserve">provides students with </w:t>
      </w:r>
      <w:r>
        <w:t xml:space="preserve">knowledge, understanding and skills to explore and enhance their own and others’ health and physical activity in diverse and changing contexts. </w:t>
      </w:r>
    </w:p>
    <w:p w:rsidR="00BC1A74" w:rsidRDefault="00BC1A74" w:rsidP="00BC1A74">
      <w:pPr>
        <w:pStyle w:val="BodyText"/>
      </w:pPr>
      <w:r w:rsidRPr="009F4CAC">
        <w:t>Physical Education</w:t>
      </w:r>
      <w:r>
        <w:t xml:space="preserve"> </w:t>
      </w:r>
      <w:r w:rsidRPr="009F4CAC">
        <w:t>provides a philosophical and educative framework to promote deep learning in three dimensions: about, through and in physical activity contexts</w:t>
      </w:r>
      <w:r>
        <w:t xml:space="preserve">. </w:t>
      </w:r>
      <w:r w:rsidRPr="009F4CAC">
        <w:t xml:space="preserve">Students optimise their engagement and performance in physical activity as they develop an understanding and appreciation of the interconnectedness of these dimensions. </w:t>
      </w:r>
    </w:p>
    <w:p w:rsidR="00BC1A74" w:rsidRDefault="00BC1A74" w:rsidP="00BC1A74">
      <w:pPr>
        <w:pStyle w:val="BodyText"/>
      </w:pPr>
      <w:r>
        <w:t>S</w:t>
      </w:r>
      <w:r w:rsidRPr="009F4CAC">
        <w:t xml:space="preserve">tudents learn how body and movement concepts and the scientific bases of biophysical, sociocultural and psychological concepts and principles are relevant to their engagement and performance in physical activity. </w:t>
      </w:r>
      <w:r>
        <w:t xml:space="preserve">They </w:t>
      </w:r>
      <w:r w:rsidRPr="00455C5B">
        <w:t>engage in a range of activities to develop movement sequences and movement strategies.</w:t>
      </w:r>
    </w:p>
    <w:p w:rsidR="00BC1A74" w:rsidRDefault="00BC1A74" w:rsidP="00BC1A74">
      <w:pPr>
        <w:pStyle w:val="BodyText"/>
      </w:pPr>
      <w:r w:rsidRPr="00455C5B">
        <w:t>Students learn experientially through three stages of an inquiry approach to make connections between the scientific bases and the physical activity contexts.</w:t>
      </w:r>
      <w:r>
        <w:t xml:space="preserve"> They </w:t>
      </w:r>
      <w:r w:rsidRPr="00455C5B">
        <w:t xml:space="preserve">recognise and explain concepts and principles about and through movement, and demonstrate and apply body and movement concepts to movement sequences and movement strategies. </w:t>
      </w:r>
    </w:p>
    <w:p w:rsidR="00BC1A74" w:rsidRPr="00455C5B" w:rsidRDefault="00BC1A74" w:rsidP="00BC1A74">
      <w:pPr>
        <w:pStyle w:val="BodyText"/>
      </w:pPr>
      <w:r w:rsidRPr="00455C5B">
        <w:t xml:space="preserve">Through their purposeful engagement in physical activities, students gather data to analyse, synthesise and devise strategies to optimise engagement and performance. </w:t>
      </w:r>
      <w:r>
        <w:t xml:space="preserve">They </w:t>
      </w:r>
      <w:r w:rsidRPr="00455C5B">
        <w:t>engage in reflective decision-making as they evaluate and justify strategies to achieve a particular outcome.</w:t>
      </w:r>
    </w:p>
    <w:p w:rsidR="00BC1A74" w:rsidRDefault="00BC1A74" w:rsidP="00707619">
      <w:pPr>
        <w:pStyle w:val="Heading3"/>
        <w:spacing w:before="0"/>
      </w:pPr>
      <w:bookmarkStart w:id="228" w:name="_Toc16163595"/>
      <w:r>
        <w:t>Pathways</w:t>
      </w:r>
      <w:bookmarkEnd w:id="228"/>
    </w:p>
    <w:p w:rsidR="00BC1A74" w:rsidRPr="00BA6B7F" w:rsidRDefault="00BC1A74" w:rsidP="00BC1A74">
      <w:pPr>
        <w:pStyle w:val="BodyText"/>
      </w:pPr>
      <w:r w:rsidRPr="00872259">
        <w:t>A course of study in Physical Education can establish a basis for further education and employment in the fields of exercise science, biomechanics, the allied health professions, psychology, teaching, sport journalism, sport marketing and management, sport promotion, sport development and coaching.</w:t>
      </w:r>
    </w:p>
    <w:p w:rsidR="00BC1A74" w:rsidRDefault="00BC1A74" w:rsidP="00BC1A74">
      <w:pPr>
        <w:pStyle w:val="Heading3"/>
      </w:pPr>
      <w:bookmarkStart w:id="229" w:name="_Toc16163596"/>
      <w:r>
        <w:t>Objectives</w:t>
      </w:r>
      <w:bookmarkEnd w:id="229"/>
    </w:p>
    <w:p w:rsidR="00BC1A74" w:rsidRPr="00BA6B7F" w:rsidRDefault="00BC1A74" w:rsidP="00BC1A74">
      <w:pPr>
        <w:pStyle w:val="BodyText"/>
      </w:pPr>
      <w:r>
        <w:t>By the conclusion of the course of study, students will:</w:t>
      </w:r>
    </w:p>
    <w:p w:rsidR="00BC1A74" w:rsidRDefault="00BC1A74" w:rsidP="00BC1A74">
      <w:pPr>
        <w:pStyle w:val="ListBullet0"/>
        <w:numPr>
          <w:ilvl w:val="0"/>
          <w:numId w:val="21"/>
        </w:numPr>
        <w:rPr>
          <w:noProof/>
        </w:rPr>
      </w:pPr>
      <w:r>
        <w:rPr>
          <w:noProof/>
        </w:rPr>
        <w:t xml:space="preserve">recognise and explain concepts and principles about movement </w:t>
      </w:r>
    </w:p>
    <w:p w:rsidR="00BC1A74" w:rsidRDefault="00BC1A74" w:rsidP="00BC1A74">
      <w:pPr>
        <w:pStyle w:val="ListBullet0"/>
        <w:numPr>
          <w:ilvl w:val="0"/>
          <w:numId w:val="21"/>
        </w:numPr>
        <w:rPr>
          <w:noProof/>
        </w:rPr>
      </w:pPr>
      <w:r>
        <w:rPr>
          <w:noProof/>
        </w:rPr>
        <w:t xml:space="preserve">demonstrate specialised movement sequences and movement strategies </w:t>
      </w:r>
    </w:p>
    <w:p w:rsidR="00BC1A74" w:rsidRDefault="00BC1A74" w:rsidP="00BC1A74">
      <w:pPr>
        <w:pStyle w:val="ListBullet0"/>
        <w:numPr>
          <w:ilvl w:val="0"/>
          <w:numId w:val="21"/>
        </w:numPr>
        <w:rPr>
          <w:noProof/>
        </w:rPr>
      </w:pPr>
      <w:r>
        <w:rPr>
          <w:noProof/>
        </w:rPr>
        <w:t xml:space="preserve">apply concepts to specialised movement sequences and movement strategies </w:t>
      </w:r>
    </w:p>
    <w:p w:rsidR="00BC1A74" w:rsidRDefault="00BC1A74" w:rsidP="00BC1A74">
      <w:pPr>
        <w:pStyle w:val="ListBullet0"/>
        <w:numPr>
          <w:ilvl w:val="0"/>
          <w:numId w:val="21"/>
        </w:numPr>
        <w:rPr>
          <w:noProof/>
        </w:rPr>
      </w:pPr>
      <w:r>
        <w:rPr>
          <w:noProof/>
        </w:rPr>
        <w:t xml:space="preserve">analyse and synthesise data to devise strategies about movement </w:t>
      </w:r>
    </w:p>
    <w:p w:rsidR="00BC1A74" w:rsidRDefault="00BC1A74" w:rsidP="00BC1A74">
      <w:pPr>
        <w:pStyle w:val="ListBullet0"/>
        <w:numPr>
          <w:ilvl w:val="0"/>
          <w:numId w:val="21"/>
        </w:numPr>
        <w:rPr>
          <w:noProof/>
        </w:rPr>
      </w:pPr>
      <w:r>
        <w:rPr>
          <w:noProof/>
        </w:rPr>
        <w:t xml:space="preserve">evaluate strategies about and in movement </w:t>
      </w:r>
    </w:p>
    <w:p w:rsidR="00BC1A74" w:rsidRDefault="00BC1A74" w:rsidP="00BC1A74">
      <w:pPr>
        <w:pStyle w:val="ListBullet0"/>
        <w:numPr>
          <w:ilvl w:val="0"/>
          <w:numId w:val="21"/>
        </w:numPr>
        <w:rPr>
          <w:noProof/>
        </w:rPr>
      </w:pPr>
      <w:r>
        <w:rPr>
          <w:noProof/>
        </w:rPr>
        <w:t>justify strategies about and in movement</w:t>
      </w:r>
    </w:p>
    <w:p w:rsidR="00BC1A74" w:rsidRDefault="00BC1A74" w:rsidP="008B0F70">
      <w:pPr>
        <w:pStyle w:val="ListBullet0"/>
      </w:pPr>
      <w:r>
        <w:rPr>
          <w:noProof/>
        </w:rPr>
        <w:t>make decisions about and use language, conventions and mode-appropriate features for particular purposes and contexts.</w:t>
      </w:r>
    </w:p>
    <w:p w:rsidR="00707619" w:rsidRDefault="00707619" w:rsidP="00707619">
      <w:pPr>
        <w:pStyle w:val="ListBullet0"/>
        <w:numPr>
          <w:ilvl w:val="0"/>
          <w:numId w:val="0"/>
        </w:numPr>
        <w:ind w:left="284" w:hanging="284"/>
      </w:pPr>
    </w:p>
    <w:p w:rsidR="00BC1A74" w:rsidRDefault="00BC1A74" w:rsidP="005B299D"/>
    <w:p w:rsidR="00707619" w:rsidRDefault="00707619" w:rsidP="005B299D"/>
    <w:p w:rsidR="00707619" w:rsidRDefault="00707619" w:rsidP="005B299D">
      <w:pPr>
        <w:sectPr w:rsidR="00707619" w:rsidSect="00BC1A74">
          <w:type w:val="continuous"/>
          <w:pgSz w:w="11907" w:h="16840" w:code="9"/>
          <w:pgMar w:top="1134" w:right="1418" w:bottom="1701" w:left="1418" w:header="567" w:footer="284" w:gutter="0"/>
          <w:cols w:num="2" w:space="720"/>
          <w:formProt w:val="0"/>
          <w:noEndnote/>
          <w:docGrid w:linePitch="299"/>
        </w:sectPr>
      </w:pPr>
    </w:p>
    <w:p w:rsidR="00707619" w:rsidRDefault="00707619" w:rsidP="00707619">
      <w:r>
        <w:br w:type="page"/>
      </w:r>
    </w:p>
    <w:p w:rsidR="00BC1A74" w:rsidRDefault="00BC1A74" w:rsidP="00BC1A74">
      <w:pPr>
        <w:pStyle w:val="Heading3"/>
      </w:pPr>
      <w:bookmarkStart w:id="230" w:name="_Toc16163597"/>
      <w:r>
        <w:t>Structure</w:t>
      </w:r>
      <w:bookmarkEnd w:id="230"/>
    </w:p>
    <w:tbl>
      <w:tblPr>
        <w:tblStyle w:val="QCAAtablestyle1"/>
        <w:tblW w:w="4900" w:type="pct"/>
        <w:tblLook w:val="04A0" w:firstRow="1" w:lastRow="0" w:firstColumn="1" w:lastColumn="0" w:noHBand="0" w:noVBand="1"/>
      </w:tblPr>
      <w:tblGrid>
        <w:gridCol w:w="2227"/>
        <w:gridCol w:w="2213"/>
        <w:gridCol w:w="2211"/>
        <w:gridCol w:w="2229"/>
      </w:tblGrid>
      <w:tr w:rsidR="00BC1A74" w:rsidTr="00707619">
        <w:trPr>
          <w:cnfStyle w:val="100000000000" w:firstRow="1" w:lastRow="0" w:firstColumn="0" w:lastColumn="0" w:oddVBand="0" w:evenVBand="0" w:oddHBand="0" w:evenHBand="0" w:firstRowFirstColumn="0" w:firstRowLastColumn="0" w:lastRowFirstColumn="0" w:lastRowLastColumn="0"/>
          <w:tblHeader/>
        </w:trPr>
        <w:tc>
          <w:tcPr>
            <w:tcW w:w="2275" w:type="dxa"/>
          </w:tcPr>
          <w:p w:rsidR="00BC1A74" w:rsidRDefault="00BC1A74" w:rsidP="008925A1">
            <w:pPr>
              <w:pStyle w:val="TableHeading0"/>
            </w:pPr>
            <w:r>
              <w:t>Unit 1</w:t>
            </w:r>
          </w:p>
        </w:tc>
        <w:tc>
          <w:tcPr>
            <w:tcW w:w="2275" w:type="dxa"/>
          </w:tcPr>
          <w:p w:rsidR="00BC1A74" w:rsidRDefault="00BC1A74" w:rsidP="008925A1">
            <w:pPr>
              <w:pStyle w:val="TableHeading0"/>
            </w:pPr>
            <w:r>
              <w:t>Unit 2</w:t>
            </w:r>
          </w:p>
        </w:tc>
        <w:tc>
          <w:tcPr>
            <w:tcW w:w="2275" w:type="dxa"/>
          </w:tcPr>
          <w:p w:rsidR="00BC1A74" w:rsidRDefault="00BC1A74" w:rsidP="008925A1">
            <w:pPr>
              <w:pStyle w:val="TableHeading0"/>
            </w:pPr>
            <w:r>
              <w:t>Unit 3</w:t>
            </w:r>
          </w:p>
        </w:tc>
        <w:tc>
          <w:tcPr>
            <w:tcW w:w="2276" w:type="dxa"/>
          </w:tcPr>
          <w:p w:rsidR="00BC1A74" w:rsidRDefault="00BC1A74" w:rsidP="008925A1">
            <w:pPr>
              <w:pStyle w:val="TableHeading0"/>
            </w:pPr>
            <w:r>
              <w:t>Unit 4</w:t>
            </w:r>
          </w:p>
        </w:tc>
      </w:tr>
      <w:tr w:rsidR="00BC1A74" w:rsidTr="008925A1">
        <w:tc>
          <w:tcPr>
            <w:tcW w:w="2275" w:type="dxa"/>
          </w:tcPr>
          <w:p w:rsidR="00BC1A74" w:rsidRDefault="00BC1A74" w:rsidP="008925A1">
            <w:pPr>
              <w:pStyle w:val="Tablesubhead"/>
            </w:pPr>
            <w:r w:rsidRPr="00C700DE">
              <w:t xml:space="preserve">Motor learning, functional anatomy, biomechanics and physical activity </w:t>
            </w:r>
          </w:p>
          <w:p w:rsidR="00BC1A74" w:rsidRPr="00C73A1F" w:rsidRDefault="00BC1A74" w:rsidP="00BC1A74">
            <w:pPr>
              <w:pStyle w:val="TableBullet"/>
              <w:numPr>
                <w:ilvl w:val="0"/>
                <w:numId w:val="24"/>
              </w:numPr>
            </w:pPr>
            <w:r w:rsidRPr="00C73A1F">
              <w:t>Motor learning integrated with a selected physical activity</w:t>
            </w:r>
          </w:p>
          <w:p w:rsidR="00BC1A74" w:rsidRPr="00BA6B7F" w:rsidRDefault="00BC1A74" w:rsidP="00BC1A74">
            <w:pPr>
              <w:pStyle w:val="TableBullet"/>
              <w:numPr>
                <w:ilvl w:val="0"/>
                <w:numId w:val="24"/>
              </w:numPr>
              <w:rPr>
                <w:b/>
              </w:rPr>
            </w:pPr>
            <w:r w:rsidRPr="00C73A1F">
              <w:t>Functional anatomy and biomechanics integrated with a selected physical activity</w:t>
            </w:r>
          </w:p>
        </w:tc>
        <w:tc>
          <w:tcPr>
            <w:tcW w:w="2275" w:type="dxa"/>
          </w:tcPr>
          <w:p w:rsidR="00BC1A74" w:rsidRDefault="00BC1A74" w:rsidP="008925A1">
            <w:pPr>
              <w:pStyle w:val="Tablesubhead"/>
            </w:pPr>
            <w:r>
              <w:t>Sport psychology, equity and physical activity</w:t>
            </w:r>
          </w:p>
          <w:p w:rsidR="00BC1A74" w:rsidRPr="00C73A1F" w:rsidRDefault="00BC1A74" w:rsidP="00BC1A74">
            <w:pPr>
              <w:pStyle w:val="TableBullet"/>
              <w:numPr>
                <w:ilvl w:val="0"/>
                <w:numId w:val="24"/>
              </w:numPr>
            </w:pPr>
            <w:r w:rsidRPr="00C73A1F">
              <w:t>Sport psychology integrated with a selected physical activity</w:t>
            </w:r>
          </w:p>
          <w:p w:rsidR="00BC1A74" w:rsidRDefault="00BC1A74" w:rsidP="00BC1A74">
            <w:pPr>
              <w:pStyle w:val="TableBullet"/>
              <w:numPr>
                <w:ilvl w:val="0"/>
                <w:numId w:val="24"/>
              </w:numPr>
            </w:pPr>
            <w:r w:rsidRPr="00C73A1F">
              <w:t>Equity — barriers and enablers</w:t>
            </w:r>
          </w:p>
        </w:tc>
        <w:tc>
          <w:tcPr>
            <w:tcW w:w="2275" w:type="dxa"/>
            <w:shd w:val="clear" w:color="auto" w:fill="auto"/>
          </w:tcPr>
          <w:p w:rsidR="00BC1A74" w:rsidRDefault="00BC1A74" w:rsidP="008925A1">
            <w:pPr>
              <w:pStyle w:val="Tablesubhead"/>
            </w:pPr>
            <w:r>
              <w:t>Tactical awareness, ethics and integrity and physical activity</w:t>
            </w:r>
          </w:p>
          <w:p w:rsidR="00BC1A74" w:rsidRPr="00C73A1F" w:rsidRDefault="00BC1A74" w:rsidP="00BC1A74">
            <w:pPr>
              <w:pStyle w:val="TableBullet"/>
              <w:numPr>
                <w:ilvl w:val="0"/>
                <w:numId w:val="24"/>
              </w:numPr>
            </w:pPr>
            <w:r w:rsidRPr="00C73A1F">
              <w:t>Tactical awareness integrated with one selected ‘Invasion’ or ‘Net and court’ physical activity</w:t>
            </w:r>
          </w:p>
          <w:p w:rsidR="00BC1A74" w:rsidRDefault="00BC1A74" w:rsidP="00BC1A74">
            <w:pPr>
              <w:pStyle w:val="TableBullet"/>
              <w:numPr>
                <w:ilvl w:val="0"/>
                <w:numId w:val="24"/>
              </w:numPr>
            </w:pPr>
            <w:r w:rsidRPr="00C73A1F">
              <w:t>Ethics and integrity</w:t>
            </w:r>
          </w:p>
        </w:tc>
        <w:tc>
          <w:tcPr>
            <w:tcW w:w="2276" w:type="dxa"/>
            <w:shd w:val="clear" w:color="auto" w:fill="auto"/>
          </w:tcPr>
          <w:p w:rsidR="00BC1A74" w:rsidRPr="00C73A1F" w:rsidRDefault="00BC1A74" w:rsidP="008925A1">
            <w:pPr>
              <w:pStyle w:val="Tablesubhead"/>
            </w:pPr>
            <w:r w:rsidRPr="00C73A1F">
              <w:t>Energy, fitness and training and physical activity</w:t>
            </w:r>
          </w:p>
          <w:p w:rsidR="00BC1A74" w:rsidRPr="00BA6B7F" w:rsidRDefault="00BC1A74" w:rsidP="00BC1A74">
            <w:pPr>
              <w:pStyle w:val="TableBullet"/>
              <w:numPr>
                <w:ilvl w:val="0"/>
                <w:numId w:val="24"/>
              </w:numPr>
              <w:rPr>
                <w:b/>
              </w:rPr>
            </w:pPr>
            <w:r w:rsidRPr="00C73A1F">
              <w:t>Energy, fitness and training integrated with one selected ‘Invasion’, ‘Net and court’ or ‘Performance’ physical activity</w:t>
            </w:r>
          </w:p>
        </w:tc>
      </w:tr>
    </w:tbl>
    <w:p w:rsidR="00BC1A74" w:rsidRDefault="00BC1A74" w:rsidP="00BC1A74">
      <w:pPr>
        <w:pStyle w:val="Heading3"/>
      </w:pPr>
      <w:bookmarkStart w:id="231" w:name="_Toc16163598"/>
      <w:r>
        <w:t>Assessment</w:t>
      </w:r>
      <w:bookmarkEnd w:id="231"/>
    </w:p>
    <w:p w:rsidR="00BC1A74" w:rsidRDefault="00BC1A74" w:rsidP="00BC1A74">
      <w:pPr>
        <w:pStyle w:val="BodyText"/>
        <w:keepNext/>
        <w:keepLines/>
      </w:pPr>
      <w:r>
        <w:t>S</w:t>
      </w:r>
      <w:r w:rsidRPr="008C3C06">
        <w:t>chools devise assessment</w:t>
      </w:r>
      <w:r>
        <w:t>s</w:t>
      </w:r>
      <w:r w:rsidRPr="008C3C06">
        <w:t xml:space="preserve"> </w:t>
      </w:r>
      <w:r>
        <w:t>i</w:t>
      </w:r>
      <w:r w:rsidRPr="008C3C06">
        <w:t>n Units 1 and 2 to suit their local context.</w:t>
      </w:r>
      <w:r>
        <w:t xml:space="preserve"> </w:t>
      </w:r>
    </w:p>
    <w:p w:rsidR="00BC1A74" w:rsidRDefault="00BC1A74" w:rsidP="00BC1A74">
      <w:pPr>
        <w:pStyle w:val="BodyText"/>
      </w:pPr>
      <w:r>
        <w:t>I</w:t>
      </w:r>
      <w:r w:rsidRPr="008C3C06">
        <w:t xml:space="preserve">n Units 3 and 4 </w:t>
      </w:r>
      <w:r>
        <w:t>s</w:t>
      </w:r>
      <w:r w:rsidRPr="008C3C06">
        <w:t>tudents complete four summative assessments</w:t>
      </w:r>
      <w:r>
        <w:t>. The results from each of the assessments are added together to provide a subject score out of 100. Students will also receive an overall subject result (A–E).</w:t>
      </w:r>
    </w:p>
    <w:p w:rsidR="00BC1A74" w:rsidRDefault="00BC1A74" w:rsidP="00BC1A74">
      <w:pPr>
        <w:pStyle w:val="Caption"/>
        <w:rPr>
          <w:noProof/>
        </w:rPr>
      </w:pPr>
      <w:r>
        <w:t>Summative assessments</w:t>
      </w:r>
    </w:p>
    <w:tbl>
      <w:tblPr>
        <w:tblStyle w:val="QCAAtablestyle1"/>
        <w:tblW w:w="4900" w:type="pct"/>
        <w:tblLayout w:type="fixed"/>
        <w:tblLook w:val="04A0" w:firstRow="1" w:lastRow="0" w:firstColumn="1" w:lastColumn="0" w:noHBand="0" w:noVBand="1"/>
      </w:tblPr>
      <w:tblGrid>
        <w:gridCol w:w="3743"/>
        <w:gridCol w:w="697"/>
        <w:gridCol w:w="3743"/>
        <w:gridCol w:w="697"/>
      </w:tblGrid>
      <w:tr w:rsidR="00BC1A74" w:rsidTr="008925A1">
        <w:trPr>
          <w:cnfStyle w:val="100000000000" w:firstRow="1" w:lastRow="0" w:firstColumn="0" w:lastColumn="0" w:oddVBand="0" w:evenVBand="0" w:oddHBand="0" w:evenHBand="0" w:firstRowFirstColumn="0" w:firstRowLastColumn="0" w:lastRowFirstColumn="0" w:lastRowLastColumn="0"/>
        </w:trPr>
        <w:tc>
          <w:tcPr>
            <w:tcW w:w="4536" w:type="dxa"/>
            <w:gridSpan w:val="2"/>
          </w:tcPr>
          <w:p w:rsidR="00BC1A74" w:rsidRDefault="00BC1A74" w:rsidP="008925A1">
            <w:pPr>
              <w:pStyle w:val="Tableheading"/>
            </w:pPr>
            <w:r>
              <w:t>Unit 3</w:t>
            </w:r>
          </w:p>
        </w:tc>
        <w:tc>
          <w:tcPr>
            <w:tcW w:w="4536" w:type="dxa"/>
            <w:gridSpan w:val="2"/>
          </w:tcPr>
          <w:p w:rsidR="00BC1A74" w:rsidRDefault="00BC1A74" w:rsidP="008925A1">
            <w:pPr>
              <w:pStyle w:val="Tableheading"/>
            </w:pPr>
            <w:r>
              <w:t>Unit 4</w:t>
            </w:r>
          </w:p>
        </w:tc>
      </w:tr>
      <w:tr w:rsidR="00BC1A74" w:rsidTr="008925A1">
        <w:tc>
          <w:tcPr>
            <w:tcW w:w="3828" w:type="dxa"/>
          </w:tcPr>
          <w:p w:rsidR="00BC1A74" w:rsidRDefault="00BC1A74" w:rsidP="008925A1">
            <w:pPr>
              <w:pStyle w:val="Tabletext"/>
            </w:pPr>
            <w:r>
              <w:t xml:space="preserve">Summative internal assessment 1 (IA1): </w:t>
            </w:r>
          </w:p>
          <w:p w:rsidR="00BC1A74" w:rsidRDefault="00BC1A74" w:rsidP="00BC1A74">
            <w:pPr>
              <w:pStyle w:val="TableBullet"/>
              <w:numPr>
                <w:ilvl w:val="0"/>
                <w:numId w:val="24"/>
              </w:numPr>
            </w:pPr>
            <w:r>
              <w:t>Project — folio</w:t>
            </w:r>
          </w:p>
        </w:tc>
        <w:tc>
          <w:tcPr>
            <w:tcW w:w="708" w:type="dxa"/>
          </w:tcPr>
          <w:p w:rsidR="00BC1A74" w:rsidRDefault="00BC1A74" w:rsidP="008925A1">
            <w:pPr>
              <w:pStyle w:val="Tabletext"/>
            </w:pPr>
            <w:r>
              <w:t>25%</w:t>
            </w:r>
          </w:p>
        </w:tc>
        <w:tc>
          <w:tcPr>
            <w:tcW w:w="3828" w:type="dxa"/>
          </w:tcPr>
          <w:p w:rsidR="00BC1A74" w:rsidRDefault="00BC1A74" w:rsidP="008925A1">
            <w:pPr>
              <w:pStyle w:val="Tabletext"/>
            </w:pPr>
            <w:r>
              <w:t xml:space="preserve">Summative internal assessment 3 (IA3): </w:t>
            </w:r>
          </w:p>
          <w:p w:rsidR="00BC1A74" w:rsidRDefault="00BC1A74" w:rsidP="00BC1A74">
            <w:pPr>
              <w:pStyle w:val="TableBullet"/>
              <w:numPr>
                <w:ilvl w:val="0"/>
                <w:numId w:val="24"/>
              </w:numPr>
            </w:pPr>
            <w:r>
              <w:t>Project — folio</w:t>
            </w:r>
          </w:p>
        </w:tc>
        <w:tc>
          <w:tcPr>
            <w:tcW w:w="708" w:type="dxa"/>
          </w:tcPr>
          <w:p w:rsidR="00BC1A74" w:rsidRDefault="00180390" w:rsidP="008925A1">
            <w:pPr>
              <w:pStyle w:val="Tabletext"/>
            </w:pPr>
            <w:r>
              <w:t>30</w:t>
            </w:r>
            <w:r w:rsidR="00BC1A74">
              <w:t>%</w:t>
            </w:r>
          </w:p>
        </w:tc>
      </w:tr>
      <w:tr w:rsidR="00BC1A74" w:rsidTr="008925A1">
        <w:tc>
          <w:tcPr>
            <w:tcW w:w="3828" w:type="dxa"/>
          </w:tcPr>
          <w:p w:rsidR="00BC1A74" w:rsidRDefault="00BC1A74" w:rsidP="008925A1">
            <w:pPr>
              <w:pStyle w:val="Tabletext"/>
            </w:pPr>
            <w:r>
              <w:t>Summativ</w:t>
            </w:r>
            <w:r w:rsidR="00180390">
              <w:t xml:space="preserve">e internal assessment 2 (IA2): </w:t>
            </w:r>
          </w:p>
          <w:p w:rsidR="00BC1A74" w:rsidRDefault="00BC1A74" w:rsidP="00BC1A74">
            <w:pPr>
              <w:pStyle w:val="TableBullet"/>
              <w:numPr>
                <w:ilvl w:val="0"/>
                <w:numId w:val="24"/>
              </w:numPr>
            </w:pPr>
            <w:r>
              <w:t>Investigation — report</w:t>
            </w:r>
          </w:p>
        </w:tc>
        <w:tc>
          <w:tcPr>
            <w:tcW w:w="708" w:type="dxa"/>
          </w:tcPr>
          <w:p w:rsidR="00BC1A74" w:rsidRDefault="00BC1A74" w:rsidP="008925A1">
            <w:pPr>
              <w:pStyle w:val="Tabletext"/>
            </w:pPr>
            <w:r>
              <w:t>20%</w:t>
            </w:r>
          </w:p>
        </w:tc>
        <w:tc>
          <w:tcPr>
            <w:tcW w:w="3828" w:type="dxa"/>
          </w:tcPr>
          <w:p w:rsidR="00BC1A74" w:rsidRDefault="00BC1A74" w:rsidP="008925A1">
            <w:pPr>
              <w:pStyle w:val="Tabletext"/>
            </w:pPr>
            <w:r>
              <w:t xml:space="preserve">Summative external assessment (EA): </w:t>
            </w:r>
          </w:p>
          <w:p w:rsidR="00BC1A74" w:rsidRDefault="00BC1A74" w:rsidP="00BC1A74">
            <w:pPr>
              <w:pStyle w:val="TableBullet"/>
              <w:numPr>
                <w:ilvl w:val="0"/>
                <w:numId w:val="24"/>
              </w:numPr>
            </w:pPr>
            <w:r>
              <w:t>Examination — combination response</w:t>
            </w:r>
          </w:p>
        </w:tc>
        <w:tc>
          <w:tcPr>
            <w:tcW w:w="708" w:type="dxa"/>
          </w:tcPr>
          <w:p w:rsidR="00BC1A74" w:rsidRDefault="00BC1A74" w:rsidP="008925A1">
            <w:pPr>
              <w:pStyle w:val="Tabletext"/>
            </w:pPr>
            <w:r>
              <w:t>25%</w:t>
            </w:r>
          </w:p>
        </w:tc>
      </w:tr>
    </w:tbl>
    <w:p w:rsidR="00BC1A74" w:rsidRDefault="00BC1A74" w:rsidP="00BC1A74"/>
    <w:p w:rsidR="005B299D" w:rsidRDefault="005B299D" w:rsidP="005B299D">
      <w:r>
        <w:br w:type="page"/>
      </w:r>
    </w:p>
    <w:tbl>
      <w:tblPr>
        <w:tblStyle w:val="TextLayout"/>
        <w:tblW w:w="5650" w:type="pct"/>
        <w:tblInd w:w="-170" w:type="dxa"/>
        <w:tblLayout w:type="fixed"/>
        <w:tblLook w:val="04A0" w:firstRow="1" w:lastRow="0" w:firstColumn="1" w:lastColumn="0" w:noHBand="0" w:noVBand="1"/>
      </w:tblPr>
      <w:tblGrid>
        <w:gridCol w:w="141"/>
        <w:gridCol w:w="9264"/>
        <w:gridCol w:w="845"/>
      </w:tblGrid>
      <w:tr w:rsidR="00C423A4" w:rsidRPr="003B6F39" w:rsidTr="002037BC">
        <w:trPr>
          <w:trHeight w:hRule="exact" w:val="851"/>
        </w:trPr>
        <w:tc>
          <w:tcPr>
            <w:tcW w:w="142" w:type="dxa"/>
            <w:shd w:val="clear" w:color="auto" w:fill="007852"/>
          </w:tcPr>
          <w:p w:rsidR="00C423A4" w:rsidRDefault="00C423A4" w:rsidP="002037BC">
            <w:pPr>
              <w:pStyle w:val="Tabletext"/>
            </w:pPr>
          </w:p>
        </w:tc>
        <w:tc>
          <w:tcPr>
            <w:tcW w:w="9323" w:type="dxa"/>
            <w:tcMar>
              <w:left w:w="57" w:type="dxa"/>
            </w:tcMar>
            <w:vAlign w:val="center"/>
          </w:tcPr>
          <w:p w:rsidR="00C423A4" w:rsidRDefault="00C423A4" w:rsidP="00F601D0">
            <w:pPr>
              <w:pStyle w:val="SubjectHeading"/>
            </w:pPr>
            <w:r>
              <w:t>Early Childhood Studies</w:t>
            </w:r>
          </w:p>
          <w:p w:rsidR="00C423A4" w:rsidRPr="00E86C01" w:rsidRDefault="00C423A4" w:rsidP="002037BC">
            <w:pPr>
              <w:pStyle w:val="Heading3"/>
              <w:spacing w:before="0" w:after="0"/>
            </w:pPr>
            <w:bookmarkStart w:id="232" w:name="_Toc16163599"/>
            <w:r>
              <w:t>Applied senior subject</w:t>
            </w:r>
            <w:bookmarkEnd w:id="232"/>
          </w:p>
        </w:tc>
        <w:tc>
          <w:tcPr>
            <w:tcW w:w="850" w:type="dxa"/>
            <w:shd w:val="clear" w:color="auto" w:fill="007852"/>
            <w:tcMar>
              <w:bottom w:w="28" w:type="dxa"/>
              <w:right w:w="57" w:type="dxa"/>
            </w:tcMar>
            <w:vAlign w:val="bottom"/>
          </w:tcPr>
          <w:p w:rsidR="00C423A4" w:rsidRPr="00BE0C34" w:rsidRDefault="00C423A4" w:rsidP="00C423A4">
            <w:pPr>
              <w:pStyle w:val="Heading3"/>
              <w:spacing w:before="0" w:after="100" w:afterAutospacing="1"/>
              <w:jc w:val="right"/>
              <w:rPr>
                <w:color w:val="FFFFFF" w:themeColor="background1"/>
                <w:sz w:val="17"/>
                <w:szCs w:val="17"/>
              </w:rPr>
            </w:pPr>
            <w:bookmarkStart w:id="233" w:name="_Toc16163600"/>
            <w:r>
              <w:rPr>
                <w:color w:val="FFFFFF" w:themeColor="background1"/>
                <w:sz w:val="17"/>
                <w:szCs w:val="17"/>
              </w:rPr>
              <w:t>Applied</w:t>
            </w:r>
            <w:bookmarkEnd w:id="233"/>
          </w:p>
        </w:tc>
      </w:tr>
      <w:tr w:rsidR="00C423A4" w:rsidRPr="003B6F39" w:rsidTr="002037BC">
        <w:trPr>
          <w:trHeight w:hRule="exact" w:val="113"/>
        </w:trPr>
        <w:tc>
          <w:tcPr>
            <w:tcW w:w="10315" w:type="dxa"/>
            <w:gridSpan w:val="3"/>
            <w:shd w:val="clear" w:color="auto" w:fill="auto"/>
          </w:tcPr>
          <w:p w:rsidR="00C423A4" w:rsidRPr="00E86C01" w:rsidRDefault="00C423A4" w:rsidP="002037BC">
            <w:pPr>
              <w:pStyle w:val="Smallspace"/>
            </w:pPr>
          </w:p>
        </w:tc>
      </w:tr>
    </w:tbl>
    <w:p w:rsidR="00352F6F" w:rsidRDefault="00352F6F" w:rsidP="00352F6F">
      <w:pPr>
        <w:pStyle w:val="BodyText"/>
        <w:spacing w:before="120"/>
        <w:sectPr w:rsidR="00352F6F" w:rsidSect="008F5484">
          <w:type w:val="continuous"/>
          <w:pgSz w:w="11907" w:h="16840" w:code="9"/>
          <w:pgMar w:top="1134" w:right="1418" w:bottom="1701" w:left="1418" w:header="567" w:footer="284" w:gutter="0"/>
          <w:cols w:space="720"/>
          <w:formProt w:val="0"/>
          <w:noEndnote/>
          <w:docGrid w:linePitch="299"/>
        </w:sectPr>
      </w:pPr>
    </w:p>
    <w:p w:rsidR="00534D17" w:rsidRDefault="00352F6F" w:rsidP="00352F6F">
      <w:pPr>
        <w:pStyle w:val="BodyText"/>
        <w:spacing w:before="120"/>
      </w:pPr>
      <w:r>
        <w:t xml:space="preserve">Early Childhood Studies focuses on learning about children aged from birth to five years. </w:t>
      </w:r>
    </w:p>
    <w:p w:rsidR="00352F6F" w:rsidRDefault="00352F6F" w:rsidP="00352F6F">
      <w:pPr>
        <w:pStyle w:val="BodyText"/>
        <w:spacing w:before="120"/>
      </w:pPr>
      <w:r>
        <w:t>Students explore play-based learning activities from two perspectives: they use theories about early childhood learning and devise play-based learning activities responsive to children’s needs.</w:t>
      </w:r>
    </w:p>
    <w:p w:rsidR="00352F6F" w:rsidRDefault="00352F6F" w:rsidP="00352F6F">
      <w:pPr>
        <w:pStyle w:val="BodyText"/>
      </w:pPr>
      <w:r>
        <w:t>Students examine the interrelatedness of core concepts and ideas of the fundamentals and practices of early childhood learning. They plan, justify and evaluate play-based learning activities responsive to the needs of children as well as evaluating contexts in early childhood learning. This enables students to develop understanding of the multifaceted, diverse and significant nature of early childhood learning.</w:t>
      </w:r>
    </w:p>
    <w:p w:rsidR="00352F6F" w:rsidRDefault="00352F6F" w:rsidP="00243FCB">
      <w:pPr>
        <w:pStyle w:val="Heading3"/>
      </w:pPr>
      <w:bookmarkStart w:id="234" w:name="_Toc16163601"/>
      <w:r>
        <w:t>Pathways</w:t>
      </w:r>
      <w:bookmarkEnd w:id="234"/>
    </w:p>
    <w:p w:rsidR="00352F6F" w:rsidRDefault="00352F6F" w:rsidP="00352F6F">
      <w:pPr>
        <w:pStyle w:val="BodyText"/>
      </w:pPr>
      <w:r>
        <w:t>A course of study in Early Childhood Studies can establish a basis for further education and employment in health, community services and education. Work opportunities exist as early childhood educators, teacher’s aides or assistants in a range of early childhood contexts.</w:t>
      </w:r>
    </w:p>
    <w:p w:rsidR="00352F6F" w:rsidRPr="00D13161" w:rsidRDefault="00352F6F" w:rsidP="001B0A4B">
      <w:pPr>
        <w:pStyle w:val="Heading3"/>
        <w:spacing w:before="0"/>
      </w:pPr>
      <w:bookmarkStart w:id="235" w:name="_Toc16163602"/>
      <w:r w:rsidRPr="00D13161">
        <w:t>Objectives</w:t>
      </w:r>
      <w:bookmarkEnd w:id="235"/>
    </w:p>
    <w:p w:rsidR="00352F6F" w:rsidRPr="00D13161" w:rsidRDefault="00352F6F" w:rsidP="00352F6F">
      <w:pPr>
        <w:pStyle w:val="Bodytextlead-in"/>
      </w:pPr>
      <w:r w:rsidRPr="00D13161">
        <w:t xml:space="preserve">By the </w:t>
      </w:r>
      <w:r w:rsidR="003D33B8">
        <w:t>conclusion</w:t>
      </w:r>
      <w:r w:rsidRPr="00D13161">
        <w:t xml:space="preserve"> of the course of study</w:t>
      </w:r>
      <w:r w:rsidR="003D33B8">
        <w:t>,</w:t>
      </w:r>
      <w:r w:rsidRPr="00D13161">
        <w:t xml:space="preserve"> students should:</w:t>
      </w:r>
    </w:p>
    <w:p w:rsidR="00352F6F" w:rsidRPr="00D13161" w:rsidRDefault="00352F6F" w:rsidP="00352F6F">
      <w:pPr>
        <w:pStyle w:val="ListBullet0"/>
      </w:pPr>
      <w:r w:rsidRPr="00D13161">
        <w:t>describe concepts and ideas related to fundamentals of early childhood</w:t>
      </w:r>
    </w:p>
    <w:p w:rsidR="00352F6F" w:rsidRPr="00D13161" w:rsidRDefault="00352F6F" w:rsidP="00352F6F">
      <w:pPr>
        <w:pStyle w:val="ListBullet0"/>
      </w:pPr>
      <w:r w:rsidRPr="00D13161">
        <w:t>explain concepts and ideas of practices of early childhood learning.</w:t>
      </w:r>
    </w:p>
    <w:p w:rsidR="00352F6F" w:rsidRPr="00D13161" w:rsidRDefault="00352F6F" w:rsidP="00352F6F">
      <w:pPr>
        <w:pStyle w:val="ListBullet0"/>
      </w:pPr>
      <w:r w:rsidRPr="00D13161">
        <w:t>analyse concepts and ideas of the fundamentals and practices of early childhood learning</w:t>
      </w:r>
    </w:p>
    <w:p w:rsidR="00352F6F" w:rsidRPr="00D13161" w:rsidRDefault="00352F6F" w:rsidP="00352F6F">
      <w:pPr>
        <w:pStyle w:val="ListBullet0"/>
      </w:pPr>
      <w:r w:rsidRPr="00D13161">
        <w:t>apply concepts and ideas of the fundamentals and practices of early childhood learning</w:t>
      </w:r>
    </w:p>
    <w:p w:rsidR="00352F6F" w:rsidRPr="00D13161" w:rsidRDefault="00352F6F" w:rsidP="00352F6F">
      <w:pPr>
        <w:pStyle w:val="ListBullet0"/>
      </w:pPr>
      <w:r w:rsidRPr="00D13161">
        <w:t>use language conventions and features to communicate ideas and information for specific purposes</w:t>
      </w:r>
    </w:p>
    <w:p w:rsidR="00352F6F" w:rsidRPr="00D13161" w:rsidRDefault="00352F6F" w:rsidP="00352F6F">
      <w:pPr>
        <w:pStyle w:val="ListBullet0"/>
      </w:pPr>
      <w:r w:rsidRPr="00D13161">
        <w:t>plan and justify play-based learning activities responsive to children’s needs</w:t>
      </w:r>
    </w:p>
    <w:p w:rsidR="00352F6F" w:rsidRPr="00D13161" w:rsidRDefault="00352F6F" w:rsidP="00352F6F">
      <w:pPr>
        <w:pStyle w:val="ListBullet0"/>
      </w:pPr>
      <w:r w:rsidRPr="00D13161">
        <w:t>evaluate play-based learning activities in response to children’s needs</w:t>
      </w:r>
    </w:p>
    <w:p w:rsidR="00352F6F" w:rsidRPr="00D13161" w:rsidRDefault="00352F6F" w:rsidP="00352F6F">
      <w:pPr>
        <w:pStyle w:val="ListBullet0"/>
      </w:pPr>
      <w:r w:rsidRPr="00D13161">
        <w:t>evaluate contexts in early childhood learning.</w:t>
      </w:r>
    </w:p>
    <w:p w:rsidR="00352F6F" w:rsidRDefault="00352F6F" w:rsidP="00352F6F">
      <w:pPr>
        <w:pStyle w:val="Heading4"/>
        <w:sectPr w:rsidR="00352F6F" w:rsidSect="00500900">
          <w:type w:val="continuous"/>
          <w:pgSz w:w="11907" w:h="16840" w:code="9"/>
          <w:pgMar w:top="1134" w:right="1418" w:bottom="1701" w:left="1418" w:header="567" w:footer="284" w:gutter="0"/>
          <w:cols w:num="2" w:space="720"/>
          <w:formProt w:val="0"/>
          <w:noEndnote/>
          <w:docGrid w:linePitch="299"/>
        </w:sectPr>
      </w:pPr>
    </w:p>
    <w:p w:rsidR="00352F6F" w:rsidRDefault="00352F6F" w:rsidP="00707619">
      <w:pPr>
        <w:pStyle w:val="Heading3"/>
        <w:spacing w:before="360"/>
      </w:pPr>
      <w:bookmarkStart w:id="236" w:name="_Toc16163603"/>
      <w:bookmarkStart w:id="237" w:name="_Hlk492897164"/>
      <w:r>
        <w:t>Structure</w:t>
      </w:r>
      <w:bookmarkEnd w:id="236"/>
    </w:p>
    <w:p w:rsidR="00352F6F" w:rsidRDefault="00352F6F" w:rsidP="00E61A2F">
      <w:pPr>
        <w:pStyle w:val="BodyText"/>
      </w:pPr>
      <w:r>
        <w:t>The Early Childhood Studies course is designed around</w:t>
      </w:r>
      <w:r w:rsidR="00E61A2F">
        <w:t xml:space="preserve"> </w:t>
      </w:r>
      <w:r>
        <w:t xml:space="preserve">core </w:t>
      </w:r>
      <w:r w:rsidR="00E61A2F">
        <w:t xml:space="preserve">topics embedded in at least four </w:t>
      </w:r>
      <w:r>
        <w:t xml:space="preserve">elective topics. </w:t>
      </w:r>
    </w:p>
    <w:tbl>
      <w:tblPr>
        <w:tblStyle w:val="QCAAtablestyle1"/>
        <w:tblW w:w="4900" w:type="pct"/>
        <w:tblLook w:val="04A0" w:firstRow="1" w:lastRow="0" w:firstColumn="1" w:lastColumn="0" w:noHBand="0" w:noVBand="1"/>
      </w:tblPr>
      <w:tblGrid>
        <w:gridCol w:w="4440"/>
        <w:gridCol w:w="4440"/>
      </w:tblGrid>
      <w:tr w:rsidR="00352F6F" w:rsidTr="00286FB9">
        <w:trPr>
          <w:cnfStyle w:val="100000000000" w:firstRow="1" w:lastRow="0" w:firstColumn="0" w:lastColumn="0" w:oddVBand="0" w:evenVBand="0" w:oddHBand="0" w:evenHBand="0" w:firstRowFirstColumn="0" w:firstRowLastColumn="0" w:lastRowFirstColumn="0" w:lastRowLastColumn="0"/>
        </w:trPr>
        <w:tc>
          <w:tcPr>
            <w:tcW w:w="4477" w:type="dxa"/>
          </w:tcPr>
          <w:p w:rsidR="00352F6F" w:rsidRDefault="00352F6F" w:rsidP="005A1672">
            <w:pPr>
              <w:pStyle w:val="Tableheading"/>
            </w:pPr>
            <w:bookmarkStart w:id="238" w:name="_Hlk494108331"/>
            <w:r>
              <w:t>Core</w:t>
            </w:r>
            <w:r w:rsidR="00F32F48">
              <w:t xml:space="preserve"> topics</w:t>
            </w:r>
          </w:p>
        </w:tc>
        <w:tc>
          <w:tcPr>
            <w:tcW w:w="4477" w:type="dxa"/>
          </w:tcPr>
          <w:p w:rsidR="00352F6F" w:rsidRDefault="00352F6F" w:rsidP="005A1672">
            <w:pPr>
              <w:pStyle w:val="Tableheading"/>
            </w:pPr>
            <w:r>
              <w:t>Elective</w:t>
            </w:r>
            <w:r w:rsidR="00F32F48">
              <w:t xml:space="preserve"> topic</w:t>
            </w:r>
            <w:r>
              <w:t>s</w:t>
            </w:r>
          </w:p>
        </w:tc>
      </w:tr>
      <w:tr w:rsidR="00352F6F" w:rsidTr="00286FB9">
        <w:tc>
          <w:tcPr>
            <w:tcW w:w="4477" w:type="dxa"/>
          </w:tcPr>
          <w:p w:rsidR="00352F6F" w:rsidRDefault="00352F6F" w:rsidP="005A1672">
            <w:pPr>
              <w:pStyle w:val="TableBullet"/>
            </w:pPr>
            <w:r>
              <w:t>Fundamentals of early childhood</w:t>
            </w:r>
          </w:p>
          <w:p w:rsidR="00352F6F" w:rsidRDefault="00352F6F" w:rsidP="005A1672">
            <w:pPr>
              <w:pStyle w:val="TableBullet"/>
            </w:pPr>
            <w:r>
              <w:t>Practices in early childhood</w:t>
            </w:r>
          </w:p>
        </w:tc>
        <w:tc>
          <w:tcPr>
            <w:tcW w:w="4477" w:type="dxa"/>
          </w:tcPr>
          <w:p w:rsidR="00352F6F" w:rsidRPr="00616DDE" w:rsidRDefault="00352F6F" w:rsidP="005A1672">
            <w:pPr>
              <w:pStyle w:val="TableBullet"/>
            </w:pPr>
            <w:r w:rsidRPr="00616DDE">
              <w:rPr>
                <w:lang w:val="en-US"/>
              </w:rPr>
              <w:t>Play and creativity</w:t>
            </w:r>
          </w:p>
          <w:p w:rsidR="00352F6F" w:rsidRPr="00616DDE" w:rsidRDefault="00352F6F" w:rsidP="005A1672">
            <w:pPr>
              <w:pStyle w:val="TableBullet"/>
            </w:pPr>
            <w:r w:rsidRPr="00616DDE">
              <w:rPr>
                <w:lang w:val="en-US"/>
              </w:rPr>
              <w:t>Literacy and numeracy skills</w:t>
            </w:r>
          </w:p>
          <w:p w:rsidR="00352F6F" w:rsidRPr="00616DDE" w:rsidRDefault="00352F6F" w:rsidP="005A1672">
            <w:pPr>
              <w:pStyle w:val="TableBullet"/>
            </w:pPr>
            <w:r w:rsidRPr="00616DDE">
              <w:rPr>
                <w:lang w:val="en-US"/>
              </w:rPr>
              <w:t>Being in a safe place</w:t>
            </w:r>
          </w:p>
          <w:p w:rsidR="00352F6F" w:rsidRPr="00616DDE" w:rsidRDefault="00352F6F" w:rsidP="005A1672">
            <w:pPr>
              <w:pStyle w:val="TableBullet"/>
            </w:pPr>
            <w:r w:rsidRPr="00616DDE">
              <w:rPr>
                <w:lang w:val="en-US"/>
              </w:rPr>
              <w:t>Health and physical wellbeing</w:t>
            </w:r>
          </w:p>
          <w:p w:rsidR="00352F6F" w:rsidRPr="00667922" w:rsidRDefault="00352F6F" w:rsidP="005A1672">
            <w:pPr>
              <w:pStyle w:val="TableBullet"/>
              <w:rPr>
                <w:lang w:val="en-US"/>
              </w:rPr>
            </w:pPr>
            <w:r w:rsidRPr="00616DDE">
              <w:rPr>
                <w:lang w:val="en-US"/>
              </w:rPr>
              <w:t>Indoor and outdoor learning environments</w:t>
            </w:r>
          </w:p>
        </w:tc>
      </w:tr>
      <w:bookmarkEnd w:id="238"/>
    </w:tbl>
    <w:p w:rsidR="00352F6F" w:rsidRDefault="00352F6F" w:rsidP="00352F6F">
      <w:pPr>
        <w:pStyle w:val="BodyText"/>
      </w:pPr>
    </w:p>
    <w:p w:rsidR="00243FCB" w:rsidRDefault="00243FCB">
      <w:r>
        <w:br w:type="page"/>
      </w:r>
    </w:p>
    <w:p w:rsidR="00352F6F" w:rsidRDefault="00352F6F" w:rsidP="00243FCB">
      <w:pPr>
        <w:pStyle w:val="Heading3"/>
      </w:pPr>
      <w:bookmarkStart w:id="239" w:name="_Toc16163604"/>
      <w:bookmarkStart w:id="240" w:name="_Hlk494108357"/>
      <w:r>
        <w:t>Assessment</w:t>
      </w:r>
      <w:bookmarkEnd w:id="239"/>
    </w:p>
    <w:p w:rsidR="00352F6F" w:rsidRDefault="00B2774F" w:rsidP="00352F6F">
      <w:pPr>
        <w:pStyle w:val="BodyText"/>
        <w:spacing w:before="120"/>
        <w:rPr>
          <w:noProof/>
        </w:rPr>
      </w:pPr>
      <w:bookmarkStart w:id="241" w:name="_Hlk492889750"/>
      <w:r>
        <w:rPr>
          <w:noProof/>
        </w:rPr>
        <w:t>For Early Childhood Studies, a</w:t>
      </w:r>
      <w:r w:rsidR="00352F6F">
        <w:rPr>
          <w:noProof/>
        </w:rPr>
        <w:t>ssessment from Units 3 and 4 is used to determine the student’s exit result</w:t>
      </w:r>
      <w:r>
        <w:rPr>
          <w:noProof/>
        </w:rPr>
        <w:t>, and</w:t>
      </w:r>
      <w:r w:rsidR="00352F6F">
        <w:rPr>
          <w:noProof/>
        </w:rPr>
        <w:t xml:space="preserve"> consists of four instruments</w:t>
      </w:r>
      <w:r>
        <w:rPr>
          <w:noProof/>
        </w:rPr>
        <w:t>, including</w:t>
      </w:r>
      <w:r w:rsidR="00352F6F">
        <w:rPr>
          <w:noProof/>
        </w:rPr>
        <w:t>:</w:t>
      </w:r>
    </w:p>
    <w:p w:rsidR="00352F6F" w:rsidRDefault="00352F6F" w:rsidP="00352F6F">
      <w:pPr>
        <w:pStyle w:val="ListBullet0"/>
      </w:pPr>
      <w:r>
        <w:t>two projects</w:t>
      </w:r>
    </w:p>
    <w:p w:rsidR="00352F6F" w:rsidRDefault="00352F6F" w:rsidP="00352F6F">
      <w:pPr>
        <w:pStyle w:val="ListBullet0"/>
      </w:pPr>
      <w:r>
        <w:t>two other assessments.</w:t>
      </w:r>
    </w:p>
    <w:tbl>
      <w:tblPr>
        <w:tblStyle w:val="QCAAtablestyle1"/>
        <w:tblW w:w="4900" w:type="pct"/>
        <w:tblLook w:val="04A0" w:firstRow="1" w:lastRow="0" w:firstColumn="1" w:lastColumn="0" w:noHBand="0" w:noVBand="1"/>
      </w:tblPr>
      <w:tblGrid>
        <w:gridCol w:w="2204"/>
        <w:gridCol w:w="2205"/>
        <w:gridCol w:w="2275"/>
        <w:gridCol w:w="2196"/>
      </w:tblGrid>
      <w:tr w:rsidR="00352F6F" w:rsidTr="00D50303">
        <w:trPr>
          <w:cnfStyle w:val="100000000000" w:firstRow="1" w:lastRow="0" w:firstColumn="0" w:lastColumn="0" w:oddVBand="0" w:evenVBand="0" w:oddHBand="0" w:evenHBand="0" w:firstRowFirstColumn="0" w:firstRowLastColumn="0" w:lastRowFirstColumn="0" w:lastRowLastColumn="0"/>
        </w:trPr>
        <w:tc>
          <w:tcPr>
            <w:tcW w:w="2223" w:type="dxa"/>
          </w:tcPr>
          <w:p w:rsidR="00352F6F" w:rsidRPr="00534D17" w:rsidRDefault="00E8421F" w:rsidP="00534D17">
            <w:pPr>
              <w:pStyle w:val="Tableheading"/>
            </w:pPr>
            <w:bookmarkStart w:id="242" w:name="_Hlk494119655"/>
            <w:r>
              <w:t xml:space="preserve">Project </w:t>
            </w:r>
          </w:p>
        </w:tc>
        <w:tc>
          <w:tcPr>
            <w:tcW w:w="2225" w:type="dxa"/>
          </w:tcPr>
          <w:p w:rsidR="00352F6F" w:rsidRPr="005A1672" w:rsidRDefault="00E8421F" w:rsidP="005A1672">
            <w:pPr>
              <w:pStyle w:val="Tableheading"/>
            </w:pPr>
            <w:r>
              <w:t>Investigation</w:t>
            </w:r>
          </w:p>
        </w:tc>
        <w:tc>
          <w:tcPr>
            <w:tcW w:w="2283" w:type="dxa"/>
          </w:tcPr>
          <w:p w:rsidR="00352F6F" w:rsidRPr="005A1672" w:rsidRDefault="00E8421F" w:rsidP="005A1672">
            <w:pPr>
              <w:pStyle w:val="Tableheading"/>
            </w:pPr>
            <w:r>
              <w:t>Extended response</w:t>
            </w:r>
          </w:p>
        </w:tc>
        <w:tc>
          <w:tcPr>
            <w:tcW w:w="2217" w:type="dxa"/>
          </w:tcPr>
          <w:p w:rsidR="00352F6F" w:rsidRPr="00534D17" w:rsidRDefault="00E8421F" w:rsidP="005A1672">
            <w:pPr>
              <w:pStyle w:val="Tableheading"/>
            </w:pPr>
            <w:r>
              <w:t>Examination</w:t>
            </w:r>
          </w:p>
        </w:tc>
      </w:tr>
      <w:tr w:rsidR="00352F6F" w:rsidTr="00D50303">
        <w:tc>
          <w:tcPr>
            <w:tcW w:w="2223" w:type="dxa"/>
          </w:tcPr>
          <w:p w:rsidR="00352F6F" w:rsidRPr="005A1672" w:rsidRDefault="00352F6F" w:rsidP="00534D17">
            <w:pPr>
              <w:pStyle w:val="Tabletext"/>
            </w:pPr>
            <w:r w:rsidRPr="00534D17">
              <w:t>A response to a single task, situation and/or scenario.</w:t>
            </w:r>
          </w:p>
        </w:tc>
        <w:tc>
          <w:tcPr>
            <w:tcW w:w="2225" w:type="dxa"/>
          </w:tcPr>
          <w:p w:rsidR="00352F6F" w:rsidRPr="005A1672" w:rsidRDefault="00352F6F" w:rsidP="00534D17">
            <w:pPr>
              <w:pStyle w:val="Tabletext"/>
            </w:pPr>
            <w:r w:rsidRPr="005A1672">
              <w:t>A response that includes locating and using information beyond students’ own knowledge and the data they have been given.</w:t>
            </w:r>
          </w:p>
        </w:tc>
        <w:tc>
          <w:tcPr>
            <w:tcW w:w="2283" w:type="dxa"/>
          </w:tcPr>
          <w:p w:rsidR="00352F6F" w:rsidRPr="005A1672" w:rsidRDefault="00352F6F" w:rsidP="005A1672">
            <w:pPr>
              <w:pStyle w:val="Tabletext"/>
            </w:pPr>
            <w:r w:rsidRPr="005A1672">
              <w:t xml:space="preserve">A </w:t>
            </w:r>
            <w:r w:rsidR="00570F76">
              <w:t>technique that assesses</w:t>
            </w:r>
            <w:r w:rsidRPr="005A1672">
              <w:t xml:space="preserve"> the interpretation, analysis/examination and/or evaluation of ideas and information in provided stimulus materials.</w:t>
            </w:r>
          </w:p>
        </w:tc>
        <w:tc>
          <w:tcPr>
            <w:tcW w:w="2217" w:type="dxa"/>
          </w:tcPr>
          <w:p w:rsidR="00352F6F" w:rsidRPr="005A1672" w:rsidRDefault="00352F6F" w:rsidP="005A1672">
            <w:pPr>
              <w:pStyle w:val="Tabletext"/>
            </w:pPr>
            <w:r w:rsidRPr="00534D17">
              <w:t>A response that answers a</w:t>
            </w:r>
            <w:r w:rsidRPr="005A1672">
              <w:t xml:space="preserve"> number of provided questions, scenarios and/or problems.</w:t>
            </w:r>
          </w:p>
        </w:tc>
      </w:tr>
      <w:tr w:rsidR="00352F6F" w:rsidTr="00D50303">
        <w:tc>
          <w:tcPr>
            <w:tcW w:w="2223" w:type="dxa"/>
          </w:tcPr>
          <w:p w:rsidR="00352F6F" w:rsidRDefault="00352F6F" w:rsidP="005A1672">
            <w:pPr>
              <w:pStyle w:val="Tabletext"/>
            </w:pPr>
            <w:r>
              <w:t>At least two different components from the following:</w:t>
            </w:r>
          </w:p>
          <w:p w:rsidR="00352F6F" w:rsidRPr="00534D17" w:rsidRDefault="00E8421F" w:rsidP="005A1672">
            <w:pPr>
              <w:pStyle w:val="TableBullet"/>
            </w:pPr>
            <w:r>
              <w:t>w</w:t>
            </w:r>
            <w:r w:rsidR="00352F6F" w:rsidRPr="00534D17">
              <w:t>ritten: 500</w:t>
            </w:r>
            <w:r w:rsidR="00EF321E">
              <w:t>–</w:t>
            </w:r>
            <w:r w:rsidR="00352F6F" w:rsidRPr="00534D17">
              <w:t>900 words</w:t>
            </w:r>
          </w:p>
          <w:p w:rsidR="00352F6F" w:rsidRPr="005A1672" w:rsidRDefault="00E8421F" w:rsidP="005A1672">
            <w:pPr>
              <w:pStyle w:val="TableBullet"/>
            </w:pPr>
            <w:r>
              <w:t>s</w:t>
            </w:r>
            <w:r w:rsidR="00352F6F" w:rsidRPr="005A1672">
              <w:t>poken: 2½–3½ minutes</w:t>
            </w:r>
          </w:p>
          <w:p w:rsidR="00352F6F" w:rsidRPr="005A1672" w:rsidRDefault="00E8421F" w:rsidP="005A1672">
            <w:pPr>
              <w:pStyle w:val="TableBullet"/>
            </w:pPr>
            <w:r>
              <w:t>m</w:t>
            </w:r>
            <w:r w:rsidR="00352F6F" w:rsidRPr="005A1672">
              <w:t>ultimodal: 3</w:t>
            </w:r>
            <w:r w:rsidR="00EF321E">
              <w:t>–</w:t>
            </w:r>
            <w:r w:rsidR="00352F6F" w:rsidRPr="005A1672">
              <w:t>6 minutes</w:t>
            </w:r>
          </w:p>
          <w:p w:rsidR="00352F6F" w:rsidRPr="005A1672" w:rsidRDefault="00E8421F" w:rsidP="005A1672">
            <w:pPr>
              <w:pStyle w:val="TableBullet"/>
            </w:pPr>
            <w:r>
              <w:t>p</w:t>
            </w:r>
            <w:r w:rsidR="00352F6F" w:rsidRPr="005A1672">
              <w:t>erformance: continuous class time</w:t>
            </w:r>
          </w:p>
          <w:p w:rsidR="00352F6F" w:rsidRPr="00D20CAB" w:rsidRDefault="00E8421F" w:rsidP="005A1672">
            <w:pPr>
              <w:pStyle w:val="TableBullet"/>
            </w:pPr>
            <w:r>
              <w:t>p</w:t>
            </w:r>
            <w:r w:rsidR="00352F6F" w:rsidRPr="005A1672">
              <w:t>roduct: continuous class time</w:t>
            </w:r>
            <w:r w:rsidR="00534D17">
              <w:t>.</w:t>
            </w:r>
          </w:p>
        </w:tc>
        <w:tc>
          <w:tcPr>
            <w:tcW w:w="2225" w:type="dxa"/>
          </w:tcPr>
          <w:p w:rsidR="00EF321E" w:rsidRDefault="00EF321E" w:rsidP="008C3C06">
            <w:pPr>
              <w:pStyle w:val="TableText0"/>
            </w:pPr>
            <w:r w:rsidRPr="00EF321E">
              <w:t>Presented in one of the following modes:</w:t>
            </w:r>
          </w:p>
          <w:p w:rsidR="00352F6F" w:rsidRPr="00534D17" w:rsidRDefault="00E8421F" w:rsidP="005A1672">
            <w:pPr>
              <w:pStyle w:val="TableBullet"/>
            </w:pPr>
            <w:r>
              <w:t>w</w:t>
            </w:r>
            <w:r w:rsidR="00352F6F" w:rsidRPr="00534D17">
              <w:t>ritten: 600</w:t>
            </w:r>
            <w:r w:rsidR="00EF321E">
              <w:t>–</w:t>
            </w:r>
            <w:r w:rsidR="00352F6F" w:rsidRPr="00534D17">
              <w:t>1000 words</w:t>
            </w:r>
          </w:p>
          <w:p w:rsidR="00352F6F" w:rsidRPr="005A1672" w:rsidRDefault="00E8421F" w:rsidP="005A1672">
            <w:pPr>
              <w:pStyle w:val="TableBullet"/>
            </w:pPr>
            <w:r>
              <w:t>s</w:t>
            </w:r>
            <w:r w:rsidR="00352F6F" w:rsidRPr="005A1672">
              <w:t>poken: 3</w:t>
            </w:r>
            <w:r w:rsidR="00EF321E">
              <w:t>–</w:t>
            </w:r>
            <w:r w:rsidR="00352F6F" w:rsidRPr="005A1672">
              <w:t>4 minutes</w:t>
            </w:r>
          </w:p>
          <w:p w:rsidR="00352F6F" w:rsidRPr="00D20CAB" w:rsidRDefault="00E8421F" w:rsidP="005A1672">
            <w:pPr>
              <w:pStyle w:val="TableBullet"/>
            </w:pPr>
            <w:r>
              <w:t>m</w:t>
            </w:r>
            <w:r w:rsidR="00352F6F" w:rsidRPr="005A1672">
              <w:t>ultimodal: 4</w:t>
            </w:r>
            <w:r w:rsidR="00EF321E">
              <w:t>–7</w:t>
            </w:r>
            <w:r w:rsidR="00352F6F" w:rsidRPr="005A1672">
              <w:t xml:space="preserve"> minutes</w:t>
            </w:r>
            <w:r w:rsidR="00EF321E">
              <w:t>.</w:t>
            </w:r>
          </w:p>
        </w:tc>
        <w:tc>
          <w:tcPr>
            <w:tcW w:w="2283" w:type="dxa"/>
          </w:tcPr>
          <w:p w:rsidR="00EF321E" w:rsidRDefault="00EF321E" w:rsidP="008C3C06">
            <w:pPr>
              <w:pStyle w:val="TableText0"/>
            </w:pPr>
            <w:r w:rsidRPr="00EF321E">
              <w:t>Presented in one of the following modes:</w:t>
            </w:r>
          </w:p>
          <w:p w:rsidR="00352F6F" w:rsidRPr="00D20CAB" w:rsidRDefault="00E8421F" w:rsidP="00F83C91">
            <w:pPr>
              <w:pStyle w:val="TableBullet"/>
            </w:pPr>
            <w:r>
              <w:t>w</w:t>
            </w:r>
            <w:r w:rsidR="00352F6F" w:rsidRPr="00D20CAB">
              <w:t>ritten: 600</w:t>
            </w:r>
            <w:r>
              <w:t>–</w:t>
            </w:r>
            <w:r w:rsidR="00352F6F" w:rsidRPr="00D20CAB">
              <w:t>1000 words</w:t>
            </w:r>
          </w:p>
          <w:p w:rsidR="00352F6F" w:rsidRPr="00D20CAB" w:rsidRDefault="00E8421F" w:rsidP="005F7F87">
            <w:pPr>
              <w:pStyle w:val="TableBullet"/>
            </w:pPr>
            <w:r>
              <w:t>s</w:t>
            </w:r>
            <w:r w:rsidR="00352F6F" w:rsidRPr="00D20CAB">
              <w:t>poken: 3</w:t>
            </w:r>
            <w:r w:rsidR="00EF321E">
              <w:t>–</w:t>
            </w:r>
            <w:r w:rsidR="00352F6F" w:rsidRPr="00D20CAB">
              <w:t>4 minutes</w:t>
            </w:r>
          </w:p>
          <w:p w:rsidR="00352F6F" w:rsidRPr="00D20CAB" w:rsidRDefault="00E8421F" w:rsidP="00F83C91">
            <w:pPr>
              <w:pStyle w:val="TableBullet"/>
            </w:pPr>
            <w:r>
              <w:t>m</w:t>
            </w:r>
            <w:r w:rsidR="00352F6F">
              <w:t>ultimodal: 4</w:t>
            </w:r>
            <w:r w:rsidR="00EF321E">
              <w:t>–</w:t>
            </w:r>
            <w:r w:rsidR="00352F6F">
              <w:t>7 minutes</w:t>
            </w:r>
            <w:r w:rsidR="00EF321E">
              <w:t>.</w:t>
            </w:r>
          </w:p>
        </w:tc>
        <w:tc>
          <w:tcPr>
            <w:tcW w:w="2217" w:type="dxa"/>
          </w:tcPr>
          <w:p w:rsidR="00352F6F" w:rsidRPr="00D20CAB" w:rsidRDefault="00352F6F" w:rsidP="00F83C91">
            <w:pPr>
              <w:pStyle w:val="TableBullet"/>
            </w:pPr>
            <w:r w:rsidRPr="00D20CAB">
              <w:t>60</w:t>
            </w:r>
            <w:r w:rsidR="00EF321E">
              <w:t>–</w:t>
            </w:r>
            <w:r w:rsidRPr="00D20CAB">
              <w:t>90 minutes</w:t>
            </w:r>
          </w:p>
          <w:p w:rsidR="00352F6F" w:rsidRPr="00D20CAB" w:rsidRDefault="00352F6F" w:rsidP="00F83C91">
            <w:pPr>
              <w:pStyle w:val="TableBullet"/>
            </w:pPr>
            <w:r w:rsidRPr="00D20CAB">
              <w:t>50</w:t>
            </w:r>
            <w:r w:rsidR="00EF321E">
              <w:t>–</w:t>
            </w:r>
            <w:r w:rsidRPr="00D20CAB">
              <w:t>250 words per item</w:t>
            </w:r>
          </w:p>
        </w:tc>
      </w:tr>
      <w:bookmarkEnd w:id="242"/>
    </w:tbl>
    <w:p w:rsidR="00352F6F" w:rsidRDefault="00352F6F" w:rsidP="00352F6F">
      <w:pPr>
        <w:pStyle w:val="BodyText"/>
      </w:pPr>
    </w:p>
    <w:bookmarkEnd w:id="240"/>
    <w:p w:rsidR="00352F6F" w:rsidRPr="00D20CAB" w:rsidRDefault="00352F6F" w:rsidP="00352F6F">
      <w:pPr>
        <w:pStyle w:val="BodyText"/>
      </w:pPr>
      <w:r w:rsidRPr="00D20CAB">
        <w:br w:type="page"/>
      </w:r>
    </w:p>
    <w:bookmarkEnd w:id="237"/>
    <w:bookmarkEnd w:id="241"/>
    <w:tbl>
      <w:tblPr>
        <w:tblStyle w:val="TextLayout"/>
        <w:tblW w:w="5650" w:type="pct"/>
        <w:tblInd w:w="-170" w:type="dxa"/>
        <w:tblLayout w:type="fixed"/>
        <w:tblLook w:val="04A0" w:firstRow="1" w:lastRow="0" w:firstColumn="1" w:lastColumn="0" w:noHBand="0" w:noVBand="1"/>
      </w:tblPr>
      <w:tblGrid>
        <w:gridCol w:w="141"/>
        <w:gridCol w:w="9264"/>
        <w:gridCol w:w="845"/>
      </w:tblGrid>
      <w:tr w:rsidR="00C423A4" w:rsidRPr="003B6F39" w:rsidTr="002037BC">
        <w:trPr>
          <w:trHeight w:hRule="exact" w:val="851"/>
        </w:trPr>
        <w:tc>
          <w:tcPr>
            <w:tcW w:w="142" w:type="dxa"/>
            <w:shd w:val="clear" w:color="auto" w:fill="007852"/>
          </w:tcPr>
          <w:p w:rsidR="00C423A4" w:rsidRDefault="00C423A4" w:rsidP="002037BC">
            <w:pPr>
              <w:pStyle w:val="Tabletext"/>
            </w:pPr>
          </w:p>
        </w:tc>
        <w:tc>
          <w:tcPr>
            <w:tcW w:w="9323" w:type="dxa"/>
            <w:tcMar>
              <w:left w:w="57" w:type="dxa"/>
            </w:tcMar>
            <w:vAlign w:val="center"/>
          </w:tcPr>
          <w:p w:rsidR="00C423A4" w:rsidRDefault="00C423A4" w:rsidP="00F601D0">
            <w:pPr>
              <w:pStyle w:val="SubjectHeading"/>
            </w:pPr>
            <w:r>
              <w:t>Sport &amp; Recreation</w:t>
            </w:r>
          </w:p>
          <w:p w:rsidR="00C423A4" w:rsidRPr="00E86C01" w:rsidRDefault="00C423A4" w:rsidP="002037BC">
            <w:pPr>
              <w:pStyle w:val="Heading3"/>
              <w:spacing w:before="0" w:after="0"/>
            </w:pPr>
            <w:bookmarkStart w:id="243" w:name="_Toc16163605"/>
            <w:r>
              <w:t>Applied senior subject</w:t>
            </w:r>
            <w:bookmarkEnd w:id="243"/>
          </w:p>
        </w:tc>
        <w:tc>
          <w:tcPr>
            <w:tcW w:w="850" w:type="dxa"/>
            <w:shd w:val="clear" w:color="auto" w:fill="007852"/>
            <w:tcMar>
              <w:bottom w:w="28" w:type="dxa"/>
              <w:right w:w="57" w:type="dxa"/>
            </w:tcMar>
            <w:vAlign w:val="bottom"/>
          </w:tcPr>
          <w:p w:rsidR="00C423A4" w:rsidRPr="00BE0C34" w:rsidRDefault="00C423A4" w:rsidP="002037BC">
            <w:pPr>
              <w:pStyle w:val="Heading3"/>
              <w:spacing w:before="0" w:after="100" w:afterAutospacing="1"/>
              <w:jc w:val="right"/>
              <w:rPr>
                <w:color w:val="FFFFFF" w:themeColor="background1"/>
                <w:sz w:val="17"/>
                <w:szCs w:val="17"/>
              </w:rPr>
            </w:pPr>
            <w:bookmarkStart w:id="244" w:name="_Toc16163606"/>
            <w:r>
              <w:rPr>
                <w:color w:val="FFFFFF" w:themeColor="background1"/>
                <w:sz w:val="17"/>
                <w:szCs w:val="17"/>
              </w:rPr>
              <w:t>Applied</w:t>
            </w:r>
            <w:bookmarkEnd w:id="244"/>
          </w:p>
        </w:tc>
      </w:tr>
      <w:tr w:rsidR="004D730A" w:rsidRPr="003B6F39" w:rsidTr="00CE28F7">
        <w:trPr>
          <w:trHeight w:hRule="exact" w:val="113"/>
        </w:trPr>
        <w:tc>
          <w:tcPr>
            <w:tcW w:w="10315" w:type="dxa"/>
            <w:gridSpan w:val="3"/>
            <w:shd w:val="clear" w:color="auto" w:fill="auto"/>
          </w:tcPr>
          <w:p w:rsidR="004D730A" w:rsidRDefault="004D730A" w:rsidP="00CE28F7">
            <w:pPr>
              <w:pStyle w:val="Heading3"/>
              <w:spacing w:before="0" w:after="100" w:afterAutospacing="1"/>
              <w:rPr>
                <w:color w:val="FFFFFF" w:themeColor="background1"/>
                <w:sz w:val="17"/>
                <w:szCs w:val="17"/>
              </w:rPr>
            </w:pPr>
          </w:p>
        </w:tc>
      </w:tr>
    </w:tbl>
    <w:p w:rsidR="00471C73" w:rsidRDefault="00471C73" w:rsidP="00352F6F">
      <w:pPr>
        <w:pStyle w:val="BodyText"/>
        <w:spacing w:before="120"/>
        <w:rPr>
          <w:noProof/>
        </w:rPr>
        <w:sectPr w:rsidR="00471C73" w:rsidSect="00500900">
          <w:headerReference w:type="default" r:id="rId36"/>
          <w:type w:val="continuous"/>
          <w:pgSz w:w="11907" w:h="16840" w:code="9"/>
          <w:pgMar w:top="1134" w:right="1418" w:bottom="1701" w:left="1418" w:header="567" w:footer="284" w:gutter="0"/>
          <w:cols w:space="720"/>
          <w:formProt w:val="0"/>
          <w:noEndnote/>
          <w:docGrid w:linePitch="299"/>
        </w:sectPr>
      </w:pPr>
    </w:p>
    <w:p w:rsidR="00471C73" w:rsidRDefault="00471C73" w:rsidP="00352F6F">
      <w:pPr>
        <w:pStyle w:val="BodyText"/>
        <w:spacing w:before="120"/>
        <w:rPr>
          <w:noProof/>
        </w:rPr>
      </w:pPr>
      <w:r w:rsidRPr="00471C73">
        <w:rPr>
          <w:noProof/>
        </w:rPr>
        <w:t xml:space="preserve">Sport </w:t>
      </w:r>
      <w:r w:rsidR="00F32F48">
        <w:rPr>
          <w:noProof/>
        </w:rPr>
        <w:t>&amp;</w:t>
      </w:r>
      <w:r w:rsidR="00F32F48" w:rsidRPr="00471C73">
        <w:rPr>
          <w:noProof/>
        </w:rPr>
        <w:t xml:space="preserve"> </w:t>
      </w:r>
      <w:r w:rsidRPr="00471C73">
        <w:rPr>
          <w:noProof/>
        </w:rPr>
        <w:t xml:space="preserve">Recreation </w:t>
      </w:r>
      <w:r w:rsidR="003D33B8">
        <w:rPr>
          <w:noProof/>
        </w:rPr>
        <w:t>provid</w:t>
      </w:r>
      <w:r w:rsidR="00632FA0">
        <w:rPr>
          <w:noProof/>
        </w:rPr>
        <w:t>es</w:t>
      </w:r>
      <w:r w:rsidRPr="00471C73">
        <w:rPr>
          <w:noProof/>
        </w:rPr>
        <w:t xml:space="preserve"> students with opportunities to learn in, through and about sport and</w:t>
      </w:r>
      <w:r w:rsidR="004C2582">
        <w:rPr>
          <w:noProof/>
        </w:rPr>
        <w:t xml:space="preserve"> active </w:t>
      </w:r>
      <w:r w:rsidRPr="00471C73">
        <w:rPr>
          <w:noProof/>
        </w:rPr>
        <w:t>recreation activities</w:t>
      </w:r>
      <w:r w:rsidR="00632FA0">
        <w:rPr>
          <w:noProof/>
        </w:rPr>
        <w:t>, examining</w:t>
      </w:r>
      <w:r w:rsidR="00632FA0" w:rsidRPr="00471C73">
        <w:rPr>
          <w:noProof/>
        </w:rPr>
        <w:t xml:space="preserve"> </w:t>
      </w:r>
      <w:r w:rsidR="00632FA0">
        <w:rPr>
          <w:noProof/>
        </w:rPr>
        <w:t xml:space="preserve">their </w:t>
      </w:r>
      <w:r w:rsidR="00632FA0" w:rsidRPr="00471C73">
        <w:rPr>
          <w:noProof/>
        </w:rPr>
        <w:t>role in the lives of individuals and communities</w:t>
      </w:r>
      <w:r w:rsidRPr="00471C73">
        <w:rPr>
          <w:noProof/>
        </w:rPr>
        <w:t>.</w:t>
      </w:r>
    </w:p>
    <w:p w:rsidR="00471C73" w:rsidRDefault="00471C73" w:rsidP="00471C73">
      <w:pPr>
        <w:pStyle w:val="BodyText"/>
        <w:spacing w:before="120"/>
        <w:rPr>
          <w:noProof/>
        </w:rPr>
      </w:pPr>
      <w:r>
        <w:rPr>
          <w:noProof/>
        </w:rPr>
        <w:t xml:space="preserve">Students examine the relevance of sport and </w:t>
      </w:r>
      <w:r w:rsidR="00756624">
        <w:rPr>
          <w:noProof/>
        </w:rPr>
        <w:t xml:space="preserve">active </w:t>
      </w:r>
      <w:r>
        <w:rPr>
          <w:noProof/>
        </w:rPr>
        <w:t>recreation in Australian culture</w:t>
      </w:r>
      <w:r w:rsidR="003D33B8">
        <w:rPr>
          <w:noProof/>
        </w:rPr>
        <w:t>,</w:t>
      </w:r>
      <w:r>
        <w:rPr>
          <w:noProof/>
        </w:rPr>
        <w:t xml:space="preserve"> employment growth, health and wellbeing. They </w:t>
      </w:r>
      <w:r w:rsidR="00F91AA4">
        <w:rPr>
          <w:noProof/>
        </w:rPr>
        <w:t>consider</w:t>
      </w:r>
      <w:r>
        <w:rPr>
          <w:noProof/>
        </w:rPr>
        <w:t xml:space="preserve"> factors that influence participation in sport and recreation</w:t>
      </w:r>
      <w:r w:rsidR="00F32F48">
        <w:rPr>
          <w:noProof/>
        </w:rPr>
        <w:t>,</w:t>
      </w:r>
      <w:r>
        <w:rPr>
          <w:noProof/>
        </w:rPr>
        <w:t xml:space="preserve"> and how physical skills can enhance participation and performance in sport and recreation activities. Students </w:t>
      </w:r>
      <w:r w:rsidR="00F91AA4">
        <w:rPr>
          <w:noProof/>
        </w:rPr>
        <w:t>explore</w:t>
      </w:r>
      <w:r>
        <w:rPr>
          <w:noProof/>
        </w:rPr>
        <w:t xml:space="preserve"> how interpersonal skills support effective interaction with others</w:t>
      </w:r>
      <w:r w:rsidR="00F32F48">
        <w:rPr>
          <w:noProof/>
        </w:rPr>
        <w:t>,</w:t>
      </w:r>
      <w:r>
        <w:rPr>
          <w:noProof/>
        </w:rPr>
        <w:t xml:space="preserve"> and the promotion of safety in sport and recreation activities. They examine technology in sport and recreation activities</w:t>
      </w:r>
      <w:r w:rsidR="00F32F48">
        <w:rPr>
          <w:noProof/>
        </w:rPr>
        <w:t>,</w:t>
      </w:r>
      <w:r>
        <w:rPr>
          <w:noProof/>
        </w:rPr>
        <w:t xml:space="preserve"> and how the sport and recreation industry contributes to individual and community outcomes.</w:t>
      </w:r>
    </w:p>
    <w:p w:rsidR="00471C73" w:rsidRDefault="00117590" w:rsidP="00471C73">
      <w:pPr>
        <w:pStyle w:val="BodyText"/>
        <w:spacing w:before="120"/>
        <w:rPr>
          <w:noProof/>
        </w:rPr>
      </w:pPr>
      <w:r>
        <w:rPr>
          <w:noProof/>
        </w:rPr>
        <w:t xml:space="preserve">Students are involved in acquiring, applying and evaluating information about </w:t>
      </w:r>
      <w:r w:rsidR="00A50120">
        <w:rPr>
          <w:noProof/>
        </w:rPr>
        <w:t xml:space="preserve">and in </w:t>
      </w:r>
      <w:r>
        <w:rPr>
          <w:noProof/>
        </w:rPr>
        <w:t xml:space="preserve">physical activities and performances, planning and organising activities, investigating solutions to individual and community challenges, and using suitable technologies where relevant. They </w:t>
      </w:r>
      <w:r w:rsidR="00471C73">
        <w:rPr>
          <w:noProof/>
        </w:rPr>
        <w:t>communicat</w:t>
      </w:r>
      <w:r>
        <w:rPr>
          <w:noProof/>
        </w:rPr>
        <w:t xml:space="preserve">e </w:t>
      </w:r>
      <w:r w:rsidR="00471C73">
        <w:rPr>
          <w:noProof/>
        </w:rPr>
        <w:t>ideas and information in, about and through sport and recreation activities. The</w:t>
      </w:r>
      <w:r>
        <w:rPr>
          <w:noProof/>
        </w:rPr>
        <w:t xml:space="preserve">y </w:t>
      </w:r>
      <w:r w:rsidR="00471C73">
        <w:rPr>
          <w:noProof/>
        </w:rPr>
        <w:t>examine the effects of sport and recreation on individuals and communities, investigate the role of sport and recreation in maintaining good health, evaluate strategies to promote health and safety, and investigate personal and interpersonal skills to achieve goals.</w:t>
      </w:r>
      <w:r>
        <w:rPr>
          <w:noProof/>
        </w:rPr>
        <w:t xml:space="preserve"> </w:t>
      </w:r>
      <w:r w:rsidR="00471C73">
        <w:rPr>
          <w:noProof/>
        </w:rPr>
        <w:t xml:space="preserve"> </w:t>
      </w:r>
    </w:p>
    <w:p w:rsidR="00352F6F" w:rsidRDefault="00352F6F" w:rsidP="00352F6F">
      <w:pPr>
        <w:pStyle w:val="Heading3"/>
      </w:pPr>
      <w:bookmarkStart w:id="245" w:name="_Toc16163607"/>
      <w:r>
        <w:t>Pathways</w:t>
      </w:r>
      <w:bookmarkEnd w:id="245"/>
    </w:p>
    <w:p w:rsidR="00471C73" w:rsidRDefault="00471C73" w:rsidP="00352F6F">
      <w:pPr>
        <w:pStyle w:val="BodyText"/>
        <w:spacing w:before="120"/>
        <w:rPr>
          <w:noProof/>
        </w:rPr>
      </w:pPr>
      <w:r w:rsidRPr="00471C73">
        <w:rPr>
          <w:noProof/>
        </w:rPr>
        <w:t xml:space="preserve">A course of study in Sport </w:t>
      </w:r>
      <w:r w:rsidR="000E6134">
        <w:rPr>
          <w:noProof/>
        </w:rPr>
        <w:t>&amp;</w:t>
      </w:r>
      <w:r w:rsidRPr="00471C73">
        <w:rPr>
          <w:noProof/>
        </w:rPr>
        <w:t xml:space="preserve"> Recreation can establish a basis for further education and employment in the fields of fitness, outdoor recreation and education, sports administration, community health and recreation and sport performance.</w:t>
      </w:r>
    </w:p>
    <w:p w:rsidR="00352F6F" w:rsidRDefault="00352F6F" w:rsidP="003B5E44">
      <w:pPr>
        <w:pStyle w:val="Heading3"/>
        <w:spacing w:before="0"/>
      </w:pPr>
      <w:bookmarkStart w:id="246" w:name="_Toc16163608"/>
      <w:r>
        <w:t>Objectives</w:t>
      </w:r>
      <w:bookmarkEnd w:id="246"/>
    </w:p>
    <w:p w:rsidR="00117590" w:rsidRDefault="00117590" w:rsidP="00117590">
      <w:pPr>
        <w:pStyle w:val="BodyText"/>
        <w:spacing w:before="120"/>
        <w:rPr>
          <w:noProof/>
        </w:rPr>
      </w:pPr>
      <w:r>
        <w:rPr>
          <w:noProof/>
        </w:rPr>
        <w:t>By the conclusion of the course of study, students should:</w:t>
      </w:r>
    </w:p>
    <w:p w:rsidR="00117590" w:rsidRDefault="00117590" w:rsidP="008C3C06">
      <w:pPr>
        <w:pStyle w:val="ListBullet0"/>
        <w:rPr>
          <w:noProof/>
        </w:rPr>
      </w:pPr>
      <w:r>
        <w:rPr>
          <w:noProof/>
        </w:rPr>
        <w:t>demonstrate physical responses and interpersonal strategies in individual and group situations in sport and recreation activities</w:t>
      </w:r>
    </w:p>
    <w:p w:rsidR="00117590" w:rsidRDefault="00117590" w:rsidP="008C3C06">
      <w:pPr>
        <w:pStyle w:val="ListBullet0"/>
        <w:rPr>
          <w:noProof/>
        </w:rPr>
      </w:pPr>
      <w:r>
        <w:rPr>
          <w:noProof/>
        </w:rPr>
        <w:t>describe concepts and ideas about sport and recreation using terminology and examples</w:t>
      </w:r>
    </w:p>
    <w:p w:rsidR="00117590" w:rsidRDefault="00117590" w:rsidP="008C3C06">
      <w:pPr>
        <w:pStyle w:val="ListBullet0"/>
        <w:rPr>
          <w:noProof/>
        </w:rPr>
      </w:pPr>
      <w:r>
        <w:rPr>
          <w:noProof/>
        </w:rPr>
        <w:t>explain procedures and strategies in, about and through sport and recreation activities for individuals and communities</w:t>
      </w:r>
    </w:p>
    <w:p w:rsidR="00117590" w:rsidRDefault="00117590" w:rsidP="00117590">
      <w:pPr>
        <w:pStyle w:val="ListBullet0"/>
        <w:rPr>
          <w:noProof/>
        </w:rPr>
      </w:pPr>
      <w:r>
        <w:rPr>
          <w:noProof/>
        </w:rPr>
        <w:t>apply concepts and adapt procedures, strategies and physical responses in individual and group sport and recreation activities</w:t>
      </w:r>
    </w:p>
    <w:p w:rsidR="00117590" w:rsidRDefault="00117590" w:rsidP="00117590">
      <w:pPr>
        <w:pStyle w:val="ListBullet0"/>
        <w:rPr>
          <w:noProof/>
        </w:rPr>
      </w:pPr>
      <w:r>
        <w:rPr>
          <w:noProof/>
        </w:rPr>
        <w:t>manage individual and group sport and recreation activities</w:t>
      </w:r>
    </w:p>
    <w:p w:rsidR="00117590" w:rsidRDefault="00117590" w:rsidP="00117590">
      <w:pPr>
        <w:pStyle w:val="ListBullet0"/>
        <w:rPr>
          <w:noProof/>
        </w:rPr>
      </w:pPr>
      <w:r>
        <w:rPr>
          <w:noProof/>
        </w:rPr>
        <w:t>apply strategies in sport and recreation activities to enhance health, wellbeing, and participation for individuals and communities</w:t>
      </w:r>
    </w:p>
    <w:p w:rsidR="00117590" w:rsidRDefault="00117590" w:rsidP="00117590">
      <w:pPr>
        <w:pStyle w:val="ListBullet0"/>
        <w:rPr>
          <w:noProof/>
        </w:rPr>
      </w:pPr>
      <w:r>
        <w:rPr>
          <w:noProof/>
        </w:rPr>
        <w:t>use language conventions and textual features to achieve particular purposes</w:t>
      </w:r>
    </w:p>
    <w:p w:rsidR="00117590" w:rsidRDefault="00117590" w:rsidP="00117590">
      <w:pPr>
        <w:pStyle w:val="ListBullet0"/>
        <w:rPr>
          <w:noProof/>
        </w:rPr>
      </w:pPr>
      <w:r>
        <w:rPr>
          <w:noProof/>
        </w:rPr>
        <w:t>evaluate individual and group physical responses and interpersonal strategies to improve outcomes in sport and recreation activities</w:t>
      </w:r>
    </w:p>
    <w:p w:rsidR="00117590" w:rsidRDefault="00117590" w:rsidP="00117590">
      <w:pPr>
        <w:pStyle w:val="ListBullet0"/>
        <w:rPr>
          <w:noProof/>
        </w:rPr>
      </w:pPr>
      <w:r>
        <w:rPr>
          <w:noProof/>
        </w:rPr>
        <w:t>evaluate the effects of sport and recreation on individuals and communities</w:t>
      </w:r>
    </w:p>
    <w:p w:rsidR="00117590" w:rsidRDefault="00117590" w:rsidP="00117590">
      <w:pPr>
        <w:pStyle w:val="ListBullet0"/>
        <w:rPr>
          <w:noProof/>
        </w:rPr>
      </w:pPr>
      <w:r>
        <w:rPr>
          <w:noProof/>
        </w:rPr>
        <w:t>evaluate strategies that seek to enhance health, wellbeing, and participation in sport and recreation activities and provide recommendations</w:t>
      </w:r>
    </w:p>
    <w:p w:rsidR="00117590" w:rsidRDefault="00117590" w:rsidP="008C3C06">
      <w:pPr>
        <w:pStyle w:val="ListBullet0"/>
        <w:rPr>
          <w:noProof/>
        </w:rPr>
      </w:pPr>
      <w:r>
        <w:rPr>
          <w:noProof/>
        </w:rPr>
        <w:t>create communications that convey meaning for particular audiences and purposes.</w:t>
      </w:r>
    </w:p>
    <w:p w:rsidR="00471C73" w:rsidRDefault="00471C73" w:rsidP="00352F6F">
      <w:pPr>
        <w:pStyle w:val="Heading3"/>
        <w:sectPr w:rsidR="00471C73" w:rsidSect="00500900">
          <w:type w:val="continuous"/>
          <w:pgSz w:w="11907" w:h="16840" w:code="9"/>
          <w:pgMar w:top="1134" w:right="1418" w:bottom="1701" w:left="1418" w:header="567" w:footer="284" w:gutter="0"/>
          <w:cols w:num="2" w:space="720"/>
          <w:formProt w:val="0"/>
          <w:noEndnote/>
          <w:docGrid w:linePitch="299"/>
        </w:sectPr>
      </w:pPr>
    </w:p>
    <w:p w:rsidR="00352F6F" w:rsidRDefault="00352F6F" w:rsidP="00352F6F">
      <w:pPr>
        <w:pStyle w:val="Heading3"/>
      </w:pPr>
      <w:bookmarkStart w:id="247" w:name="_Toc16163609"/>
      <w:r>
        <w:t>Structure</w:t>
      </w:r>
      <w:bookmarkEnd w:id="247"/>
    </w:p>
    <w:p w:rsidR="00427EDD" w:rsidRPr="00F32F48" w:rsidRDefault="00655003" w:rsidP="006C2BE8">
      <w:pPr>
        <w:pStyle w:val="BodyText"/>
        <w:rPr>
          <w:noProof/>
        </w:rPr>
      </w:pPr>
      <w:r>
        <w:rPr>
          <w:noProof/>
        </w:rPr>
        <w:t xml:space="preserve">The </w:t>
      </w:r>
      <w:r w:rsidR="00F32F48" w:rsidRPr="00471C73">
        <w:rPr>
          <w:noProof/>
        </w:rPr>
        <w:t xml:space="preserve">Sport </w:t>
      </w:r>
      <w:r w:rsidR="00F32F48">
        <w:rPr>
          <w:noProof/>
        </w:rPr>
        <w:t>&amp;</w:t>
      </w:r>
      <w:r w:rsidR="00F32F48" w:rsidRPr="00471C73">
        <w:rPr>
          <w:noProof/>
        </w:rPr>
        <w:t xml:space="preserve"> Recreation</w:t>
      </w:r>
      <w:r>
        <w:rPr>
          <w:noProof/>
        </w:rPr>
        <w:t xml:space="preserve"> course</w:t>
      </w:r>
      <w:r w:rsidR="00F32F48">
        <w:rPr>
          <w:noProof/>
        </w:rPr>
        <w:t xml:space="preserve"> is designed around core and elective to</w:t>
      </w:r>
      <w:r w:rsidR="006C2BE8">
        <w:rPr>
          <w:noProof/>
        </w:rPr>
        <w:t>pics.</w:t>
      </w:r>
    </w:p>
    <w:tbl>
      <w:tblPr>
        <w:tblStyle w:val="QCAAtablestyle1"/>
        <w:tblW w:w="0" w:type="auto"/>
        <w:tblLook w:val="04A0" w:firstRow="1" w:lastRow="0" w:firstColumn="1" w:lastColumn="0" w:noHBand="0" w:noVBand="1"/>
      </w:tblPr>
      <w:tblGrid>
        <w:gridCol w:w="5172"/>
        <w:gridCol w:w="3776"/>
      </w:tblGrid>
      <w:tr w:rsidR="00471C73" w:rsidTr="00427EDD">
        <w:trPr>
          <w:cnfStyle w:val="100000000000" w:firstRow="1" w:lastRow="0" w:firstColumn="0" w:lastColumn="0" w:oddVBand="0" w:evenVBand="0" w:oddHBand="0" w:evenHBand="0" w:firstRowFirstColumn="0" w:firstRowLastColumn="0" w:lastRowFirstColumn="0" w:lastRowLastColumn="0"/>
        </w:trPr>
        <w:tc>
          <w:tcPr>
            <w:tcW w:w="0" w:type="auto"/>
          </w:tcPr>
          <w:p w:rsidR="00471C73" w:rsidRDefault="00471C73" w:rsidP="00471C73">
            <w:pPr>
              <w:pStyle w:val="Tableheading"/>
            </w:pPr>
            <w:r>
              <w:t>Core</w:t>
            </w:r>
            <w:r w:rsidR="00F32F48">
              <w:t xml:space="preserve"> topics</w:t>
            </w:r>
          </w:p>
        </w:tc>
        <w:tc>
          <w:tcPr>
            <w:tcW w:w="0" w:type="auto"/>
          </w:tcPr>
          <w:p w:rsidR="00471C73" w:rsidRDefault="00471C73" w:rsidP="00471C73">
            <w:pPr>
              <w:pStyle w:val="Tableheading"/>
            </w:pPr>
            <w:r>
              <w:t>Elective</w:t>
            </w:r>
            <w:r w:rsidR="00F32F48">
              <w:t xml:space="preserve"> topic</w:t>
            </w:r>
            <w:r>
              <w:t>s</w:t>
            </w:r>
          </w:p>
        </w:tc>
      </w:tr>
      <w:tr w:rsidR="00471C73" w:rsidTr="00427EDD">
        <w:tc>
          <w:tcPr>
            <w:tcW w:w="0" w:type="auto"/>
          </w:tcPr>
          <w:p w:rsidR="004E1951" w:rsidRDefault="004E1951" w:rsidP="004E1951">
            <w:pPr>
              <w:pStyle w:val="TableBullet"/>
            </w:pPr>
            <w:r>
              <w:t>Sport and recreation in the community</w:t>
            </w:r>
          </w:p>
          <w:p w:rsidR="004E1951" w:rsidRDefault="004E1951" w:rsidP="004E1951">
            <w:pPr>
              <w:pStyle w:val="TableBullet"/>
            </w:pPr>
            <w:r>
              <w:t>Sport, recreation and healthy living</w:t>
            </w:r>
          </w:p>
          <w:p w:rsidR="004E1951" w:rsidRDefault="004E1951" w:rsidP="004E1951">
            <w:pPr>
              <w:pStyle w:val="TableBullet"/>
            </w:pPr>
            <w:r>
              <w:t>Health and safety in sport and recreation activities</w:t>
            </w:r>
          </w:p>
          <w:p w:rsidR="00471C73" w:rsidRDefault="004E1951">
            <w:pPr>
              <w:pStyle w:val="TableBullet"/>
            </w:pPr>
            <w:r>
              <w:t>Personal and interpersonal skills in sport and recreation activities</w:t>
            </w:r>
          </w:p>
        </w:tc>
        <w:tc>
          <w:tcPr>
            <w:tcW w:w="0" w:type="auto"/>
          </w:tcPr>
          <w:p w:rsidR="004E1951" w:rsidRPr="008C3C06" w:rsidRDefault="004E1951">
            <w:pPr>
              <w:pStyle w:val="TableBullet"/>
            </w:pPr>
            <w:r w:rsidRPr="008C3C06">
              <w:t>Active play and minor games</w:t>
            </w:r>
          </w:p>
          <w:p w:rsidR="004E1951" w:rsidRPr="008C3C06" w:rsidRDefault="004E1951">
            <w:pPr>
              <w:pStyle w:val="TableBullet"/>
            </w:pPr>
            <w:r w:rsidRPr="008C3C06">
              <w:t>Challenge and adventure activities</w:t>
            </w:r>
          </w:p>
          <w:p w:rsidR="004E1951" w:rsidRPr="008C3C06" w:rsidRDefault="004E1951">
            <w:pPr>
              <w:pStyle w:val="TableBullet"/>
            </w:pPr>
            <w:r w:rsidRPr="008C3C06">
              <w:t>Games and sports</w:t>
            </w:r>
          </w:p>
          <w:p w:rsidR="004E1951" w:rsidRPr="008C3C06" w:rsidRDefault="004E1951">
            <w:pPr>
              <w:pStyle w:val="TableBullet"/>
            </w:pPr>
            <w:r w:rsidRPr="008C3C06">
              <w:t>Lifelong physical activities</w:t>
            </w:r>
          </w:p>
          <w:p w:rsidR="004E1951" w:rsidRPr="008C3C06" w:rsidRDefault="004E1951">
            <w:pPr>
              <w:pStyle w:val="TableBullet"/>
            </w:pPr>
            <w:r w:rsidRPr="008C3C06">
              <w:t>Rhythmic and expressive movement activities</w:t>
            </w:r>
          </w:p>
          <w:p w:rsidR="00471C73" w:rsidRPr="004E1951" w:rsidRDefault="004E1951" w:rsidP="00F32F48">
            <w:pPr>
              <w:pStyle w:val="TableBullet"/>
              <w:rPr>
                <w:lang w:val="en-US"/>
              </w:rPr>
            </w:pPr>
            <w:r w:rsidRPr="004E1951">
              <w:rPr>
                <w:lang w:val="en-US"/>
              </w:rPr>
              <w:t>Sport and recreation physical activi</w:t>
            </w:r>
            <w:r>
              <w:rPr>
                <w:lang w:val="en-US"/>
              </w:rPr>
              <w:t>t</w:t>
            </w:r>
            <w:r w:rsidR="00F32F48">
              <w:rPr>
                <w:lang w:val="en-US"/>
              </w:rPr>
              <w:t>ies</w:t>
            </w:r>
          </w:p>
        </w:tc>
      </w:tr>
    </w:tbl>
    <w:p w:rsidR="00471C73" w:rsidRDefault="00471C73" w:rsidP="00471C73">
      <w:pPr>
        <w:pStyle w:val="Heading3"/>
      </w:pPr>
      <w:bookmarkStart w:id="248" w:name="_Toc16163610"/>
      <w:r>
        <w:t>Assessment</w:t>
      </w:r>
      <w:bookmarkEnd w:id="248"/>
    </w:p>
    <w:p w:rsidR="00471C73" w:rsidRDefault="004C37E5" w:rsidP="00471C73">
      <w:pPr>
        <w:pStyle w:val="BodyText"/>
        <w:spacing w:before="120"/>
        <w:rPr>
          <w:noProof/>
        </w:rPr>
      </w:pPr>
      <w:r>
        <w:rPr>
          <w:noProof/>
        </w:rPr>
        <w:t xml:space="preserve">For Sport </w:t>
      </w:r>
      <w:r w:rsidR="008A3FCA">
        <w:rPr>
          <w:noProof/>
        </w:rPr>
        <w:t>&amp;</w:t>
      </w:r>
      <w:r>
        <w:rPr>
          <w:noProof/>
        </w:rPr>
        <w:t xml:space="preserve"> Recreation, a</w:t>
      </w:r>
      <w:r w:rsidR="00471C73">
        <w:rPr>
          <w:noProof/>
        </w:rPr>
        <w:t>ssessment from Units 3 and 4 is used to deter</w:t>
      </w:r>
      <w:r>
        <w:rPr>
          <w:noProof/>
        </w:rPr>
        <w:t xml:space="preserve">mine the student’s exit result, and </w:t>
      </w:r>
      <w:r w:rsidR="00471C73">
        <w:rPr>
          <w:noProof/>
        </w:rPr>
        <w:t>consists of four instruments</w:t>
      </w:r>
      <w:r>
        <w:rPr>
          <w:noProof/>
        </w:rPr>
        <w:t>, including</w:t>
      </w:r>
      <w:r w:rsidR="00471C73">
        <w:rPr>
          <w:noProof/>
        </w:rPr>
        <w:t>:</w:t>
      </w:r>
    </w:p>
    <w:p w:rsidR="004E1951" w:rsidRDefault="004E1951" w:rsidP="004E1951">
      <w:pPr>
        <w:pStyle w:val="ListBullet0"/>
      </w:pPr>
      <w:r>
        <w:t>one project (annotated records of the performance is also required)</w:t>
      </w:r>
    </w:p>
    <w:p w:rsidR="00471C73" w:rsidRDefault="004E1951" w:rsidP="004E1951">
      <w:pPr>
        <w:pStyle w:val="ListBullet0"/>
      </w:pPr>
      <w:r>
        <w:t>one investigation, extended response or examination</w:t>
      </w:r>
      <w:r w:rsidR="00471C73">
        <w:t>.</w:t>
      </w:r>
    </w:p>
    <w:tbl>
      <w:tblPr>
        <w:tblStyle w:val="QCAAtablestyle1"/>
        <w:tblW w:w="0" w:type="auto"/>
        <w:tblLook w:val="04A0" w:firstRow="1" w:lastRow="0" w:firstColumn="1" w:lastColumn="0" w:noHBand="0" w:noVBand="1"/>
      </w:tblPr>
      <w:tblGrid>
        <w:gridCol w:w="1531"/>
        <w:gridCol w:w="1722"/>
        <w:gridCol w:w="2273"/>
        <w:gridCol w:w="1840"/>
        <w:gridCol w:w="1582"/>
      </w:tblGrid>
      <w:tr w:rsidR="004E1951" w:rsidTr="002F7819">
        <w:trPr>
          <w:cnfStyle w:val="100000000000" w:firstRow="1" w:lastRow="0" w:firstColumn="0" w:lastColumn="0" w:oddVBand="0" w:evenVBand="0" w:oddHBand="0" w:evenHBand="0" w:firstRowFirstColumn="0" w:firstRowLastColumn="0" w:lastRowFirstColumn="0" w:lastRowLastColumn="0"/>
        </w:trPr>
        <w:tc>
          <w:tcPr>
            <w:tcW w:w="0" w:type="auto"/>
          </w:tcPr>
          <w:p w:rsidR="004E1951" w:rsidRPr="00534D17" w:rsidRDefault="00F32F48" w:rsidP="004E1951">
            <w:pPr>
              <w:pStyle w:val="Tableheading"/>
            </w:pPr>
            <w:r>
              <w:t xml:space="preserve">Project </w:t>
            </w:r>
          </w:p>
        </w:tc>
        <w:tc>
          <w:tcPr>
            <w:tcW w:w="0" w:type="auto"/>
          </w:tcPr>
          <w:p w:rsidR="004E1951" w:rsidRPr="005A1672" w:rsidRDefault="004E1951" w:rsidP="004E1951">
            <w:pPr>
              <w:pStyle w:val="Tableheading"/>
            </w:pPr>
            <w:r w:rsidRPr="005A1672">
              <w:t>Investigation</w:t>
            </w:r>
          </w:p>
        </w:tc>
        <w:tc>
          <w:tcPr>
            <w:tcW w:w="0" w:type="auto"/>
          </w:tcPr>
          <w:p w:rsidR="004E1951" w:rsidRPr="005A1672" w:rsidRDefault="00F32F48" w:rsidP="004E1951">
            <w:pPr>
              <w:pStyle w:val="Tableheading"/>
            </w:pPr>
            <w:r>
              <w:t>Extended response</w:t>
            </w:r>
          </w:p>
        </w:tc>
        <w:tc>
          <w:tcPr>
            <w:tcW w:w="0" w:type="auto"/>
          </w:tcPr>
          <w:p w:rsidR="004E1951" w:rsidRPr="00534D17" w:rsidRDefault="004E1951" w:rsidP="004E1951">
            <w:pPr>
              <w:pStyle w:val="Tableheading"/>
            </w:pPr>
            <w:r>
              <w:t>Performance</w:t>
            </w:r>
          </w:p>
        </w:tc>
        <w:tc>
          <w:tcPr>
            <w:tcW w:w="0" w:type="auto"/>
          </w:tcPr>
          <w:p w:rsidR="004E1951" w:rsidRPr="00F32F48" w:rsidRDefault="00F32F48" w:rsidP="004E1951">
            <w:pPr>
              <w:pStyle w:val="Tableheading"/>
            </w:pPr>
            <w:r>
              <w:t>Examination</w:t>
            </w:r>
          </w:p>
        </w:tc>
      </w:tr>
      <w:tr w:rsidR="004E1951" w:rsidTr="002F7819">
        <w:tc>
          <w:tcPr>
            <w:tcW w:w="0" w:type="auto"/>
          </w:tcPr>
          <w:p w:rsidR="004E1951" w:rsidRPr="005A1672" w:rsidRDefault="004E1951" w:rsidP="004E1951">
            <w:pPr>
              <w:pStyle w:val="Tabletext"/>
            </w:pPr>
            <w:r w:rsidRPr="00534D17">
              <w:t>A response to a single task, situation and/or scenario.</w:t>
            </w:r>
          </w:p>
        </w:tc>
        <w:tc>
          <w:tcPr>
            <w:tcW w:w="0" w:type="auto"/>
          </w:tcPr>
          <w:p w:rsidR="004E1951" w:rsidRPr="005A1672" w:rsidRDefault="004E1951" w:rsidP="004E1951">
            <w:pPr>
              <w:pStyle w:val="Tabletext"/>
            </w:pPr>
            <w:r w:rsidRPr="005A1672">
              <w:t>A response that includes locating and using information beyond students’ own knowledge and the data they have been given.</w:t>
            </w:r>
          </w:p>
        </w:tc>
        <w:tc>
          <w:tcPr>
            <w:tcW w:w="0" w:type="auto"/>
          </w:tcPr>
          <w:p w:rsidR="004E1951" w:rsidRPr="007923CA" w:rsidRDefault="004E1951" w:rsidP="004E1951">
            <w:pPr>
              <w:pStyle w:val="Tabletext"/>
            </w:pPr>
            <w:r w:rsidRPr="007923CA">
              <w:t xml:space="preserve">A </w:t>
            </w:r>
            <w:r w:rsidR="00570F76">
              <w:t>technique that assesses</w:t>
            </w:r>
            <w:r w:rsidRPr="007923CA">
              <w:t xml:space="preserve"> the interpretation, analysis/examination and/or evaluation of ideas and information in provided stimulus materials.</w:t>
            </w:r>
          </w:p>
        </w:tc>
        <w:tc>
          <w:tcPr>
            <w:tcW w:w="0" w:type="auto"/>
          </w:tcPr>
          <w:p w:rsidR="004E1951" w:rsidRPr="007923CA" w:rsidRDefault="004E1951" w:rsidP="004E1951">
            <w:pPr>
              <w:pStyle w:val="Tabletext"/>
              <w:rPr>
                <w:spacing w:val="-4"/>
              </w:rPr>
            </w:pPr>
            <w:r w:rsidRPr="007923CA">
              <w:rPr>
                <w:spacing w:val="-4"/>
              </w:rPr>
              <w:t xml:space="preserve">A response involves the application of identified skill/s when responding to a task that involves solving a problem, providing a solution, providing instruction or conveying meaning or intent. </w:t>
            </w:r>
          </w:p>
        </w:tc>
        <w:tc>
          <w:tcPr>
            <w:tcW w:w="0" w:type="auto"/>
          </w:tcPr>
          <w:p w:rsidR="004E1951" w:rsidRPr="00F32F48" w:rsidRDefault="004E1951" w:rsidP="004E1951">
            <w:pPr>
              <w:pStyle w:val="Tabletext"/>
            </w:pPr>
            <w:r w:rsidRPr="00F32F48">
              <w:t>A response that answers a number of provided questions, scenarios and/or problems.</w:t>
            </w:r>
          </w:p>
        </w:tc>
      </w:tr>
      <w:tr w:rsidR="004E1951" w:rsidTr="002F7819">
        <w:tc>
          <w:tcPr>
            <w:tcW w:w="0" w:type="auto"/>
          </w:tcPr>
          <w:p w:rsidR="004E1951" w:rsidRPr="007923CA" w:rsidRDefault="004E1951" w:rsidP="004E1951">
            <w:pPr>
              <w:pStyle w:val="Tabletext"/>
              <w:rPr>
                <w:spacing w:val="-6"/>
              </w:rPr>
            </w:pPr>
            <w:r w:rsidRPr="007923CA">
              <w:rPr>
                <w:spacing w:val="-6"/>
              </w:rPr>
              <w:t>At least two different components from the following:</w:t>
            </w:r>
          </w:p>
          <w:p w:rsidR="004E1951" w:rsidRPr="007923CA" w:rsidRDefault="005409CC" w:rsidP="004E1951">
            <w:pPr>
              <w:pStyle w:val="TableBullet"/>
              <w:rPr>
                <w:spacing w:val="-6"/>
              </w:rPr>
            </w:pPr>
            <w:r>
              <w:rPr>
                <w:spacing w:val="-6"/>
              </w:rPr>
              <w:t>w</w:t>
            </w:r>
            <w:r w:rsidR="004E1951" w:rsidRPr="007923CA">
              <w:rPr>
                <w:spacing w:val="-6"/>
              </w:rPr>
              <w:t>ritten: 500–900 words</w:t>
            </w:r>
          </w:p>
          <w:p w:rsidR="004E1951" w:rsidRPr="007923CA" w:rsidRDefault="005409CC" w:rsidP="004E1951">
            <w:pPr>
              <w:pStyle w:val="TableBullet"/>
              <w:rPr>
                <w:spacing w:val="-6"/>
              </w:rPr>
            </w:pPr>
            <w:r>
              <w:rPr>
                <w:spacing w:val="-6"/>
              </w:rPr>
              <w:t>s</w:t>
            </w:r>
            <w:r w:rsidR="004E1951" w:rsidRPr="007923CA">
              <w:rPr>
                <w:spacing w:val="-6"/>
              </w:rPr>
              <w:t>poken: 2½–3½ minutes</w:t>
            </w:r>
          </w:p>
          <w:p w:rsidR="004E1951" w:rsidRPr="007923CA" w:rsidRDefault="005409CC" w:rsidP="004E1951">
            <w:pPr>
              <w:pStyle w:val="TableBullet"/>
              <w:rPr>
                <w:spacing w:val="-6"/>
              </w:rPr>
            </w:pPr>
            <w:r>
              <w:rPr>
                <w:spacing w:val="-6"/>
              </w:rPr>
              <w:t>m</w:t>
            </w:r>
            <w:r w:rsidR="004E1951" w:rsidRPr="007923CA">
              <w:rPr>
                <w:spacing w:val="-6"/>
              </w:rPr>
              <w:t>ultimodal: 3–6 minutes</w:t>
            </w:r>
          </w:p>
          <w:p w:rsidR="004E1951" w:rsidRPr="00D20CAB" w:rsidRDefault="005409CC" w:rsidP="002F7819">
            <w:pPr>
              <w:pStyle w:val="TableBullet"/>
            </w:pPr>
            <w:r>
              <w:rPr>
                <w:spacing w:val="-6"/>
              </w:rPr>
              <w:t>p</w:t>
            </w:r>
            <w:r w:rsidR="004E1951" w:rsidRPr="007923CA">
              <w:rPr>
                <w:spacing w:val="-6"/>
              </w:rPr>
              <w:t xml:space="preserve">erformance: </w:t>
            </w:r>
            <w:r w:rsidR="004E1951" w:rsidRPr="007923CA">
              <w:rPr>
                <w:rFonts w:eastAsia="MS Mincho"/>
                <w:spacing w:val="-6"/>
                <w:lang w:eastAsia="en-AU"/>
              </w:rPr>
              <w:t>2–4 minutes.</w:t>
            </w:r>
            <w:r w:rsidR="002F7819">
              <w:rPr>
                <w:rFonts w:eastAsia="MS Mincho"/>
                <w:spacing w:val="-6"/>
                <w:lang w:eastAsia="en-AU"/>
              </w:rPr>
              <w:t xml:space="preserve">* </w:t>
            </w:r>
          </w:p>
        </w:tc>
        <w:tc>
          <w:tcPr>
            <w:tcW w:w="0" w:type="auto"/>
          </w:tcPr>
          <w:p w:rsidR="004E1951" w:rsidRDefault="004E1951" w:rsidP="004E1951">
            <w:pPr>
              <w:pStyle w:val="TableText0"/>
            </w:pPr>
            <w:r w:rsidRPr="00EF321E">
              <w:t>Presented in one of the following modes:</w:t>
            </w:r>
          </w:p>
          <w:p w:rsidR="004E1951" w:rsidRPr="00534D17" w:rsidRDefault="004B0F39" w:rsidP="004E1951">
            <w:pPr>
              <w:pStyle w:val="TableBullet"/>
            </w:pPr>
            <w:r>
              <w:t>w</w:t>
            </w:r>
            <w:r w:rsidR="004E1951" w:rsidRPr="00534D17">
              <w:t>ritten: 600</w:t>
            </w:r>
            <w:r w:rsidR="004E1951">
              <w:t>–</w:t>
            </w:r>
            <w:r w:rsidR="004E1951" w:rsidRPr="00534D17">
              <w:t>1000 words</w:t>
            </w:r>
          </w:p>
          <w:p w:rsidR="004E1951" w:rsidRPr="005A1672" w:rsidRDefault="004B0F39" w:rsidP="004E1951">
            <w:pPr>
              <w:pStyle w:val="TableBullet"/>
            </w:pPr>
            <w:r>
              <w:t>s</w:t>
            </w:r>
            <w:r w:rsidR="004E1951" w:rsidRPr="005A1672">
              <w:t>poken: 3</w:t>
            </w:r>
            <w:r w:rsidR="004E1951">
              <w:t>–</w:t>
            </w:r>
            <w:r w:rsidR="004E1951" w:rsidRPr="005A1672">
              <w:t>4 minutes</w:t>
            </w:r>
          </w:p>
          <w:p w:rsidR="004E1951" w:rsidRPr="00D20CAB" w:rsidRDefault="004B0F39" w:rsidP="004E1951">
            <w:pPr>
              <w:pStyle w:val="TableBullet"/>
            </w:pPr>
            <w:r>
              <w:t>m</w:t>
            </w:r>
            <w:r w:rsidR="004E1951" w:rsidRPr="005A1672">
              <w:t>ultimodal: 4</w:t>
            </w:r>
            <w:r w:rsidR="004E1951">
              <w:t>–7</w:t>
            </w:r>
            <w:r w:rsidR="004E1951" w:rsidRPr="005A1672">
              <w:t xml:space="preserve"> minutes</w:t>
            </w:r>
            <w:r w:rsidR="004E1951">
              <w:t>.</w:t>
            </w:r>
          </w:p>
        </w:tc>
        <w:tc>
          <w:tcPr>
            <w:tcW w:w="0" w:type="auto"/>
          </w:tcPr>
          <w:p w:rsidR="004E1951" w:rsidRDefault="004E1951" w:rsidP="004E1951">
            <w:pPr>
              <w:pStyle w:val="TableText0"/>
            </w:pPr>
            <w:r w:rsidRPr="00EF321E">
              <w:t>Presented in one of the following modes:</w:t>
            </w:r>
          </w:p>
          <w:p w:rsidR="004E1951" w:rsidRPr="00D20CAB" w:rsidRDefault="004B0F39" w:rsidP="004E1951">
            <w:pPr>
              <w:pStyle w:val="TableBullet"/>
            </w:pPr>
            <w:r>
              <w:t>w</w:t>
            </w:r>
            <w:r w:rsidR="004E1951" w:rsidRPr="00D20CAB">
              <w:t>ritten: 600</w:t>
            </w:r>
            <w:r w:rsidR="004E1951">
              <w:t>–</w:t>
            </w:r>
            <w:r w:rsidR="004E1951" w:rsidRPr="00D20CAB">
              <w:t>1000 words</w:t>
            </w:r>
          </w:p>
          <w:p w:rsidR="004E1951" w:rsidRDefault="004B0F39" w:rsidP="004E1951">
            <w:pPr>
              <w:pStyle w:val="TableBullet"/>
            </w:pPr>
            <w:r>
              <w:t>s</w:t>
            </w:r>
            <w:r w:rsidR="004E1951" w:rsidRPr="00D20CAB">
              <w:t xml:space="preserve">poken: </w:t>
            </w:r>
          </w:p>
          <w:p w:rsidR="004E1951" w:rsidRPr="00D20CAB" w:rsidRDefault="004E1951" w:rsidP="004E1951">
            <w:pPr>
              <w:pStyle w:val="TableBullet"/>
              <w:numPr>
                <w:ilvl w:val="0"/>
                <w:numId w:val="0"/>
              </w:numPr>
              <w:ind w:left="170"/>
            </w:pPr>
            <w:r w:rsidRPr="00D20CAB">
              <w:t>3</w:t>
            </w:r>
            <w:r>
              <w:t>–</w:t>
            </w:r>
            <w:r w:rsidRPr="00D20CAB">
              <w:t>4 minutes</w:t>
            </w:r>
          </w:p>
          <w:p w:rsidR="004E1951" w:rsidRPr="00D20CAB" w:rsidRDefault="004B0F39" w:rsidP="004E1951">
            <w:pPr>
              <w:pStyle w:val="TableBullet"/>
            </w:pPr>
            <w:r>
              <w:t>m</w:t>
            </w:r>
            <w:r w:rsidR="004E1951">
              <w:t>ultimodal: 4–7 minutes.</w:t>
            </w:r>
          </w:p>
        </w:tc>
        <w:tc>
          <w:tcPr>
            <w:tcW w:w="0" w:type="auto"/>
          </w:tcPr>
          <w:p w:rsidR="004E1951" w:rsidRPr="00D20CAB" w:rsidRDefault="004E1951" w:rsidP="002F7819">
            <w:pPr>
              <w:pStyle w:val="TableBullet"/>
            </w:pPr>
            <w:r w:rsidRPr="00117590">
              <w:t>2–4 minutes</w:t>
            </w:r>
            <w:r w:rsidR="002F7819">
              <w:t>*</w:t>
            </w:r>
          </w:p>
        </w:tc>
        <w:tc>
          <w:tcPr>
            <w:tcW w:w="0" w:type="auto"/>
          </w:tcPr>
          <w:p w:rsidR="004E1951" w:rsidRPr="00F32F48" w:rsidRDefault="004E1951" w:rsidP="004E1951">
            <w:pPr>
              <w:pStyle w:val="TableBullet"/>
              <w:numPr>
                <w:ilvl w:val="0"/>
                <w:numId w:val="24"/>
              </w:numPr>
            </w:pPr>
            <w:r w:rsidRPr="00F32F48">
              <w:t>60–90 minutes</w:t>
            </w:r>
          </w:p>
          <w:p w:rsidR="004E1951" w:rsidRPr="00F32F48" w:rsidRDefault="004E1951" w:rsidP="004E1951">
            <w:pPr>
              <w:pStyle w:val="TableBullet"/>
            </w:pPr>
            <w:r w:rsidRPr="00F32F48">
              <w:t>50–250 words per item</w:t>
            </w:r>
          </w:p>
        </w:tc>
      </w:tr>
    </w:tbl>
    <w:p w:rsidR="00D530D4" w:rsidRDefault="002F7819" w:rsidP="002F7819">
      <w:pPr>
        <w:pStyle w:val="TableText0"/>
      </w:pPr>
      <w:r>
        <w:t xml:space="preserve">* </w:t>
      </w:r>
      <w:r w:rsidRPr="00117590">
        <w:t>Evidence must include annotated records that clearly identify the application of standards to performance.</w:t>
      </w:r>
    </w:p>
    <w:p w:rsidR="00D530D4" w:rsidRDefault="00D530D4">
      <w:pPr>
        <w:rPr>
          <w:sz w:val="19"/>
          <w14:numForm w14:val="lining"/>
        </w:rPr>
      </w:pPr>
      <w:r>
        <w:br w:type="page"/>
      </w:r>
    </w:p>
    <w:p w:rsidR="006853BF" w:rsidRDefault="006853BF" w:rsidP="006853BF">
      <w:bookmarkStart w:id="249" w:name="_Hlk492975547"/>
    </w:p>
    <w:bookmarkEnd w:id="249"/>
    <w:tbl>
      <w:tblPr>
        <w:tblStyle w:val="TextLayout"/>
        <w:tblW w:w="5650" w:type="pct"/>
        <w:tblInd w:w="-170" w:type="dxa"/>
        <w:tblLayout w:type="fixed"/>
        <w:tblLook w:val="04A0" w:firstRow="1" w:lastRow="0" w:firstColumn="1" w:lastColumn="0" w:noHBand="0" w:noVBand="1"/>
      </w:tblPr>
      <w:tblGrid>
        <w:gridCol w:w="141"/>
        <w:gridCol w:w="9264"/>
        <w:gridCol w:w="845"/>
      </w:tblGrid>
      <w:tr w:rsidR="00840BAD" w:rsidRPr="003B6F39" w:rsidTr="002037BC">
        <w:trPr>
          <w:trHeight w:hRule="exact" w:val="851"/>
        </w:trPr>
        <w:tc>
          <w:tcPr>
            <w:tcW w:w="142" w:type="dxa"/>
            <w:shd w:val="clear" w:color="auto" w:fill="84BD00"/>
          </w:tcPr>
          <w:p w:rsidR="00840BAD" w:rsidRDefault="00840BAD" w:rsidP="002037BC">
            <w:pPr>
              <w:pStyle w:val="Tabletext"/>
            </w:pPr>
          </w:p>
        </w:tc>
        <w:tc>
          <w:tcPr>
            <w:tcW w:w="9323" w:type="dxa"/>
            <w:tcMar>
              <w:left w:w="57" w:type="dxa"/>
            </w:tcMar>
            <w:vAlign w:val="center"/>
          </w:tcPr>
          <w:p w:rsidR="00840BAD" w:rsidRDefault="00840BAD" w:rsidP="00F601D0">
            <w:pPr>
              <w:pStyle w:val="SubjectHeading"/>
            </w:pPr>
            <w:r>
              <w:t>Biology</w:t>
            </w:r>
          </w:p>
          <w:p w:rsidR="00840BAD" w:rsidRPr="00E86C01" w:rsidRDefault="00840BAD" w:rsidP="002037BC">
            <w:pPr>
              <w:pStyle w:val="Heading3"/>
              <w:spacing w:before="0" w:after="0"/>
            </w:pPr>
            <w:bookmarkStart w:id="250" w:name="_Toc16163611"/>
            <w:r>
              <w:t>General senior subject</w:t>
            </w:r>
            <w:bookmarkEnd w:id="250"/>
          </w:p>
        </w:tc>
        <w:tc>
          <w:tcPr>
            <w:tcW w:w="850" w:type="dxa"/>
            <w:shd w:val="clear" w:color="auto" w:fill="84BD00"/>
            <w:tcMar>
              <w:bottom w:w="28" w:type="dxa"/>
              <w:right w:w="57" w:type="dxa"/>
            </w:tcMar>
            <w:vAlign w:val="bottom"/>
          </w:tcPr>
          <w:p w:rsidR="00840BAD" w:rsidRPr="00C423A4" w:rsidRDefault="00840BAD" w:rsidP="002037BC">
            <w:pPr>
              <w:pStyle w:val="Heading3"/>
              <w:spacing w:before="0" w:after="100" w:afterAutospacing="1"/>
              <w:jc w:val="right"/>
              <w:rPr>
                <w:color w:val="auto"/>
                <w:sz w:val="17"/>
                <w:szCs w:val="17"/>
              </w:rPr>
            </w:pPr>
            <w:bookmarkStart w:id="251" w:name="_Toc16163612"/>
            <w:r w:rsidRPr="00C423A4">
              <w:rPr>
                <w:color w:val="auto"/>
                <w:sz w:val="17"/>
                <w:szCs w:val="17"/>
              </w:rPr>
              <w:t>General</w:t>
            </w:r>
            <w:bookmarkEnd w:id="251"/>
          </w:p>
        </w:tc>
      </w:tr>
      <w:tr w:rsidR="004D730A" w:rsidRPr="003B6F39" w:rsidTr="00CE28F7">
        <w:trPr>
          <w:trHeight w:hRule="exact" w:val="113"/>
        </w:trPr>
        <w:tc>
          <w:tcPr>
            <w:tcW w:w="10315" w:type="dxa"/>
            <w:gridSpan w:val="3"/>
            <w:shd w:val="clear" w:color="auto" w:fill="auto"/>
          </w:tcPr>
          <w:p w:rsidR="004D730A" w:rsidRPr="00CE28F7" w:rsidRDefault="004D730A" w:rsidP="00CE28F7">
            <w:pPr>
              <w:pStyle w:val="Heading3"/>
              <w:tabs>
                <w:tab w:val="left" w:pos="210"/>
              </w:tabs>
              <w:spacing w:before="0" w:after="100" w:afterAutospacing="1"/>
            </w:pPr>
          </w:p>
        </w:tc>
      </w:tr>
    </w:tbl>
    <w:p w:rsidR="005B299D" w:rsidRDefault="005B299D" w:rsidP="00EC7B9B">
      <w:pPr>
        <w:pStyle w:val="BodyText"/>
        <w:rPr>
          <w:noProof/>
        </w:rPr>
      </w:pPr>
    </w:p>
    <w:p w:rsidR="00EC7B9B" w:rsidRDefault="00EC7B9B" w:rsidP="00EC7B9B">
      <w:pPr>
        <w:pStyle w:val="BodyText"/>
        <w:spacing w:before="120"/>
        <w:sectPr w:rsidR="00EC7B9B" w:rsidSect="00500900">
          <w:headerReference w:type="default" r:id="rId37"/>
          <w:type w:val="continuous"/>
          <w:pgSz w:w="11907" w:h="16840" w:code="9"/>
          <w:pgMar w:top="1134" w:right="1418" w:bottom="1701" w:left="1418" w:header="567" w:footer="284" w:gutter="0"/>
          <w:cols w:space="720"/>
          <w:formProt w:val="0"/>
          <w:noEndnote/>
          <w:docGrid w:linePitch="299"/>
        </w:sectPr>
      </w:pPr>
    </w:p>
    <w:p w:rsidR="00EC7B9B" w:rsidRDefault="00EC7B9B" w:rsidP="00EC7B9B">
      <w:pPr>
        <w:pStyle w:val="BodyText"/>
        <w:spacing w:before="120"/>
      </w:pPr>
      <w:r>
        <w:t xml:space="preserve">Biology provides opportunities for students to engage with living systems. </w:t>
      </w:r>
    </w:p>
    <w:p w:rsidR="00EC7B9B" w:rsidRDefault="00EC7B9B" w:rsidP="00EC7B9B">
      <w:pPr>
        <w:pStyle w:val="BodyText"/>
        <w:spacing w:before="120"/>
        <w:rPr>
          <w:noProof/>
        </w:rPr>
      </w:pPr>
      <w:r>
        <w:rPr>
          <w:noProof/>
        </w:rPr>
        <w:t xml:space="preserve">Students </w:t>
      </w:r>
      <w:r w:rsidRPr="00494C81">
        <w:rPr>
          <w:noProof/>
        </w:rPr>
        <w:t xml:space="preserve">develop their understanding of cells and multicellular organisms. </w:t>
      </w:r>
      <w:r>
        <w:rPr>
          <w:noProof/>
        </w:rPr>
        <w:t xml:space="preserve">They </w:t>
      </w:r>
      <w:r w:rsidRPr="00494C81">
        <w:rPr>
          <w:noProof/>
        </w:rPr>
        <w:t xml:space="preserve">engage with the concept of maintaining the internal environment. </w:t>
      </w:r>
      <w:r>
        <w:rPr>
          <w:noProof/>
        </w:rPr>
        <w:t xml:space="preserve">They </w:t>
      </w:r>
      <w:r w:rsidRPr="00494C81">
        <w:rPr>
          <w:noProof/>
        </w:rPr>
        <w:t>study biodiversity and the interconnectedness of life. This knowledge is linked with the concepts of heredity and the continuity of life.</w:t>
      </w:r>
    </w:p>
    <w:p w:rsidR="00F22672" w:rsidRDefault="00341E42" w:rsidP="00EC7B9B">
      <w:pPr>
        <w:pStyle w:val="BodyText"/>
        <w:spacing w:before="120"/>
        <w:rPr>
          <w:noProof/>
        </w:rPr>
      </w:pPr>
      <w:r w:rsidRPr="00341E42">
        <w:rPr>
          <w:noProof/>
        </w:rPr>
        <w:t>Students learn and apply aspects of the knowledge and skills of the discipline (thinking, experimentation, problem-solving and research skills), understand how it works and how it may impact society.</w:t>
      </w:r>
      <w:r w:rsidR="00F22672" w:rsidRPr="00F22672">
        <w:rPr>
          <w:noProof/>
        </w:rPr>
        <w:t xml:space="preserve"> </w:t>
      </w:r>
      <w:r w:rsidR="00F22672">
        <w:rPr>
          <w:noProof/>
        </w:rPr>
        <w:t xml:space="preserve">They develop their sense of wonder and curiosity about life; respect for all living things and the environment; understanding of biological systems, concepts, theories and models; appreciation of how biological knowledge has developed over time and continues to develop; a sense of how biological knowledge influences society. </w:t>
      </w:r>
    </w:p>
    <w:p w:rsidR="00EC7B9B" w:rsidRDefault="00F22672" w:rsidP="00EC7B9B">
      <w:pPr>
        <w:pStyle w:val="BodyText"/>
        <w:spacing w:before="120"/>
        <w:rPr>
          <w:noProof/>
        </w:rPr>
      </w:pPr>
      <w:r>
        <w:rPr>
          <w:noProof/>
        </w:rPr>
        <w:t>Students plan and carry out fieldwork, laboratory and other research investigations; interpret evidence; use sound, evidence-based arguments creatively and analytically when evaluating claims and applying biological knowledge; and communicate biological understanding, findings, arguments and conclusions using appropriate representations, modes and genres.</w:t>
      </w:r>
    </w:p>
    <w:p w:rsidR="00EC7B9B" w:rsidRDefault="00EC7B9B" w:rsidP="003B5E44">
      <w:pPr>
        <w:pStyle w:val="Heading3"/>
        <w:spacing w:before="120"/>
      </w:pPr>
      <w:bookmarkStart w:id="252" w:name="_Toc16163613"/>
      <w:r>
        <w:t>Pathways</w:t>
      </w:r>
      <w:bookmarkEnd w:id="252"/>
    </w:p>
    <w:p w:rsidR="00EC7B9B" w:rsidRDefault="00EC7B9B" w:rsidP="00EC7B9B">
      <w:pPr>
        <w:pStyle w:val="BodyText"/>
        <w:spacing w:before="120"/>
        <w:rPr>
          <w:noProof/>
        </w:rPr>
      </w:pPr>
      <w:r w:rsidRPr="00494C81">
        <w:rPr>
          <w:noProof/>
        </w:rPr>
        <w:t xml:space="preserve">A course of study in Biology can establish a basis for further education and employment in the fields of medicine, forensics, veterinary, food and marine sciences, agriculture, biotechnology, environmental rehabilitation, biosecurity, quarantine, conservation and </w:t>
      </w:r>
      <w:r>
        <w:rPr>
          <w:noProof/>
        </w:rPr>
        <w:t>sustainability.</w:t>
      </w:r>
    </w:p>
    <w:p w:rsidR="00EC7B9B" w:rsidRDefault="00EC7B9B" w:rsidP="00EC7B9B">
      <w:pPr>
        <w:pStyle w:val="Heading3"/>
      </w:pPr>
      <w:bookmarkStart w:id="253" w:name="_Toc16163614"/>
      <w:r>
        <w:t>Objectives</w:t>
      </w:r>
      <w:bookmarkEnd w:id="253"/>
    </w:p>
    <w:p w:rsidR="00EC7B9B" w:rsidRDefault="00EC7B9B" w:rsidP="00EC7B9B">
      <w:pPr>
        <w:pStyle w:val="BodyText"/>
        <w:spacing w:before="120"/>
      </w:pPr>
      <w:bookmarkStart w:id="254" w:name="_Hlk493159998"/>
      <w:r>
        <w:t>By the conclusion of the course of study, students will:</w:t>
      </w:r>
      <w:bookmarkEnd w:id="254"/>
      <w:r>
        <w:t xml:space="preserve"> </w:t>
      </w:r>
    </w:p>
    <w:p w:rsidR="00EC7B9B" w:rsidRDefault="00EC7B9B" w:rsidP="00EC7B9B">
      <w:pPr>
        <w:pStyle w:val="ListBullet0"/>
      </w:pPr>
      <w:r>
        <w:t>describe and explain scientific concepts, theories, models and systems and their limitations</w:t>
      </w:r>
    </w:p>
    <w:p w:rsidR="00EC7B9B" w:rsidRDefault="00EC7B9B" w:rsidP="00EC7B9B">
      <w:pPr>
        <w:pStyle w:val="ListBullet0"/>
      </w:pPr>
      <w:r>
        <w:t>apply understanding of scientific concepts, theories, models and systems within their limitations</w:t>
      </w:r>
    </w:p>
    <w:p w:rsidR="00EC7B9B" w:rsidRDefault="00EC7B9B" w:rsidP="00EC7B9B">
      <w:pPr>
        <w:pStyle w:val="ListBullet0"/>
      </w:pPr>
      <w:r>
        <w:t>analyse evidence</w:t>
      </w:r>
    </w:p>
    <w:p w:rsidR="00EC7B9B" w:rsidRDefault="00EC7B9B" w:rsidP="00EC7B9B">
      <w:pPr>
        <w:pStyle w:val="ListBullet0"/>
      </w:pPr>
      <w:r>
        <w:t>interpret evidence</w:t>
      </w:r>
    </w:p>
    <w:p w:rsidR="00EC7B9B" w:rsidRDefault="00EC7B9B" w:rsidP="00EC7B9B">
      <w:pPr>
        <w:pStyle w:val="ListBullet0"/>
      </w:pPr>
      <w:r>
        <w:t>investigate phenomena</w:t>
      </w:r>
    </w:p>
    <w:p w:rsidR="00EC7B9B" w:rsidRDefault="00EC7B9B" w:rsidP="00EC7B9B">
      <w:pPr>
        <w:pStyle w:val="ListBullet0"/>
      </w:pPr>
      <w:r>
        <w:t>evaluate processes, claims and conclusions</w:t>
      </w:r>
    </w:p>
    <w:p w:rsidR="00EC7B9B" w:rsidRDefault="00EC7B9B" w:rsidP="00EC7B9B">
      <w:pPr>
        <w:pStyle w:val="ListBullet0"/>
        <w:rPr>
          <w:noProof/>
        </w:rPr>
      </w:pPr>
      <w:r>
        <w:t>communicate understandings, findings, arguments and conclusions.</w:t>
      </w:r>
    </w:p>
    <w:p w:rsidR="00EC7B9B" w:rsidRPr="003B5E44" w:rsidRDefault="00EC7B9B" w:rsidP="003B5E44"/>
    <w:p w:rsidR="003B5E44" w:rsidRDefault="003B5E44" w:rsidP="003B5E44">
      <w:pPr>
        <w:pStyle w:val="BodyText"/>
      </w:pPr>
    </w:p>
    <w:p w:rsidR="003B5E44" w:rsidRPr="003B5E44" w:rsidRDefault="003B5E44" w:rsidP="003B5E44">
      <w:pPr>
        <w:pStyle w:val="BodyText"/>
        <w:sectPr w:rsidR="003B5E44" w:rsidRPr="003B5E44" w:rsidSect="00500900">
          <w:type w:val="continuous"/>
          <w:pgSz w:w="11907" w:h="16840" w:code="9"/>
          <w:pgMar w:top="1134" w:right="1418" w:bottom="1701" w:left="1418" w:header="567" w:footer="284" w:gutter="0"/>
          <w:cols w:num="2" w:space="720"/>
          <w:formProt w:val="0"/>
          <w:noEndnote/>
          <w:docGrid w:linePitch="299"/>
        </w:sectPr>
      </w:pPr>
    </w:p>
    <w:p w:rsidR="003B5E44" w:rsidRPr="003B5E44" w:rsidRDefault="003B5E44" w:rsidP="003B5E44">
      <w:pPr>
        <w:rPr>
          <w:sz w:val="12"/>
        </w:rPr>
      </w:pPr>
    </w:p>
    <w:p w:rsidR="00EC7B9B" w:rsidRDefault="00EC7B9B" w:rsidP="00EC7B9B">
      <w:pPr>
        <w:pStyle w:val="Heading3"/>
      </w:pPr>
      <w:bookmarkStart w:id="255" w:name="_Toc16163615"/>
      <w:r>
        <w:t>Structure</w:t>
      </w:r>
      <w:bookmarkEnd w:id="255"/>
    </w:p>
    <w:tbl>
      <w:tblPr>
        <w:tblStyle w:val="QCAAtablestyle1"/>
        <w:tblW w:w="4900" w:type="pct"/>
        <w:tblLook w:val="04A0" w:firstRow="1" w:lastRow="0" w:firstColumn="1" w:lastColumn="0" w:noHBand="0" w:noVBand="1"/>
      </w:tblPr>
      <w:tblGrid>
        <w:gridCol w:w="2210"/>
        <w:gridCol w:w="2216"/>
        <w:gridCol w:w="2255"/>
        <w:gridCol w:w="2199"/>
      </w:tblGrid>
      <w:tr w:rsidR="00EC7B9B" w:rsidTr="00B943B4">
        <w:trPr>
          <w:cnfStyle w:val="100000000000" w:firstRow="1" w:lastRow="0" w:firstColumn="0" w:lastColumn="0" w:oddVBand="0" w:evenVBand="0" w:oddHBand="0" w:evenHBand="0" w:firstRowFirstColumn="0" w:firstRowLastColumn="0" w:lastRowFirstColumn="0" w:lastRowLastColumn="0"/>
        </w:trPr>
        <w:tc>
          <w:tcPr>
            <w:tcW w:w="2275" w:type="dxa"/>
          </w:tcPr>
          <w:p w:rsidR="00EC7B9B" w:rsidRPr="00E8047A" w:rsidRDefault="00EC7B9B" w:rsidP="00B943B4">
            <w:pPr>
              <w:pStyle w:val="Tableheading"/>
            </w:pPr>
            <w:r w:rsidRPr="00E8047A">
              <w:t>Unit 1</w:t>
            </w:r>
          </w:p>
        </w:tc>
        <w:tc>
          <w:tcPr>
            <w:tcW w:w="2275" w:type="dxa"/>
          </w:tcPr>
          <w:p w:rsidR="00EC7B9B" w:rsidRPr="00E8047A" w:rsidRDefault="00EC7B9B" w:rsidP="00B943B4">
            <w:pPr>
              <w:pStyle w:val="Tableheading"/>
            </w:pPr>
            <w:r w:rsidRPr="00E8047A">
              <w:t>Unit 2</w:t>
            </w:r>
          </w:p>
        </w:tc>
        <w:tc>
          <w:tcPr>
            <w:tcW w:w="2275" w:type="dxa"/>
          </w:tcPr>
          <w:p w:rsidR="00EC7B9B" w:rsidRPr="00E8047A" w:rsidRDefault="00EC7B9B" w:rsidP="00B943B4">
            <w:pPr>
              <w:pStyle w:val="Tableheading"/>
            </w:pPr>
            <w:r w:rsidRPr="00E8047A">
              <w:t>Unit 3</w:t>
            </w:r>
          </w:p>
        </w:tc>
        <w:tc>
          <w:tcPr>
            <w:tcW w:w="2276" w:type="dxa"/>
          </w:tcPr>
          <w:p w:rsidR="00EC7B9B" w:rsidRPr="00E8047A" w:rsidRDefault="00EC7B9B" w:rsidP="00B943B4">
            <w:pPr>
              <w:pStyle w:val="Tableheading"/>
            </w:pPr>
            <w:r w:rsidRPr="00E8047A">
              <w:t>Unit 4</w:t>
            </w:r>
          </w:p>
        </w:tc>
      </w:tr>
      <w:tr w:rsidR="00EC7B9B" w:rsidTr="00B943B4">
        <w:tc>
          <w:tcPr>
            <w:tcW w:w="0" w:type="dxa"/>
          </w:tcPr>
          <w:p w:rsidR="00EC7B9B" w:rsidRPr="00AF5888" w:rsidRDefault="00EC7B9B" w:rsidP="00B943B4">
            <w:pPr>
              <w:pStyle w:val="TableText0"/>
              <w:rPr>
                <w:b/>
              </w:rPr>
            </w:pPr>
            <w:r w:rsidRPr="00AF5888">
              <w:rPr>
                <w:b/>
              </w:rPr>
              <w:t>Cells and multicellular organisms</w:t>
            </w:r>
          </w:p>
          <w:p w:rsidR="00EC7B9B" w:rsidRDefault="00EC7B9B" w:rsidP="00EC7B9B">
            <w:pPr>
              <w:pStyle w:val="TableBullet"/>
              <w:numPr>
                <w:ilvl w:val="0"/>
                <w:numId w:val="24"/>
              </w:numPr>
            </w:pPr>
            <w:r>
              <w:t>Cells as the basis of life</w:t>
            </w:r>
          </w:p>
          <w:p w:rsidR="00EC7B9B" w:rsidRDefault="00EC7B9B" w:rsidP="00EC7B9B">
            <w:pPr>
              <w:pStyle w:val="TableBullet"/>
              <w:numPr>
                <w:ilvl w:val="0"/>
                <w:numId w:val="24"/>
              </w:numPr>
            </w:pPr>
            <w:r>
              <w:t>Multicellular organisms</w:t>
            </w:r>
          </w:p>
        </w:tc>
        <w:tc>
          <w:tcPr>
            <w:tcW w:w="0" w:type="dxa"/>
          </w:tcPr>
          <w:p w:rsidR="00EC7B9B" w:rsidRPr="00AF5888" w:rsidRDefault="00EC7B9B" w:rsidP="00B943B4">
            <w:pPr>
              <w:pStyle w:val="TableText0"/>
              <w:rPr>
                <w:b/>
              </w:rPr>
            </w:pPr>
            <w:r w:rsidRPr="00AF5888">
              <w:rPr>
                <w:b/>
              </w:rPr>
              <w:t>Maintaining the internal environment</w:t>
            </w:r>
          </w:p>
          <w:p w:rsidR="00EC7B9B" w:rsidRDefault="00EC7B9B" w:rsidP="00EC7B9B">
            <w:pPr>
              <w:pStyle w:val="TableBullet"/>
              <w:numPr>
                <w:ilvl w:val="0"/>
                <w:numId w:val="24"/>
              </w:numPr>
            </w:pPr>
            <w:r>
              <w:t>Homeostasis</w:t>
            </w:r>
          </w:p>
          <w:p w:rsidR="00EC7B9B" w:rsidRDefault="00EC7B9B" w:rsidP="00EC7B9B">
            <w:pPr>
              <w:pStyle w:val="TableBullet"/>
              <w:numPr>
                <w:ilvl w:val="0"/>
                <w:numId w:val="24"/>
              </w:numPr>
            </w:pPr>
            <w:r>
              <w:t>Infectious diseases</w:t>
            </w:r>
          </w:p>
        </w:tc>
        <w:tc>
          <w:tcPr>
            <w:tcW w:w="0" w:type="dxa"/>
            <w:shd w:val="clear" w:color="auto" w:fill="auto"/>
          </w:tcPr>
          <w:p w:rsidR="00EC7B9B" w:rsidRPr="00AF5888" w:rsidRDefault="00EC7B9B" w:rsidP="00B943B4">
            <w:pPr>
              <w:pStyle w:val="TableText0"/>
              <w:rPr>
                <w:b/>
              </w:rPr>
            </w:pPr>
            <w:r w:rsidRPr="00AF5888">
              <w:rPr>
                <w:b/>
              </w:rPr>
              <w:t>Biodiversity and the interconnectedness of life</w:t>
            </w:r>
          </w:p>
          <w:p w:rsidR="00EC7B9B" w:rsidRDefault="00EC7B9B" w:rsidP="00EC7B9B">
            <w:pPr>
              <w:pStyle w:val="TableBullet"/>
              <w:numPr>
                <w:ilvl w:val="0"/>
                <w:numId w:val="24"/>
              </w:numPr>
            </w:pPr>
            <w:r>
              <w:t>Describing biodiversity</w:t>
            </w:r>
          </w:p>
          <w:p w:rsidR="00EC7B9B" w:rsidRDefault="00EC7B9B" w:rsidP="00EC7B9B">
            <w:pPr>
              <w:pStyle w:val="TableBullet"/>
              <w:numPr>
                <w:ilvl w:val="0"/>
                <w:numId w:val="24"/>
              </w:numPr>
            </w:pPr>
            <w:r>
              <w:t>Ecosystem dynamics</w:t>
            </w:r>
          </w:p>
        </w:tc>
        <w:tc>
          <w:tcPr>
            <w:tcW w:w="0" w:type="dxa"/>
            <w:shd w:val="clear" w:color="auto" w:fill="auto"/>
          </w:tcPr>
          <w:p w:rsidR="00EC7B9B" w:rsidRPr="00AF5888" w:rsidRDefault="00EC7B9B" w:rsidP="00B943B4">
            <w:pPr>
              <w:pStyle w:val="TableText0"/>
              <w:rPr>
                <w:b/>
              </w:rPr>
            </w:pPr>
            <w:r w:rsidRPr="00AF5888">
              <w:rPr>
                <w:b/>
              </w:rPr>
              <w:t>Heredity and continuity of life</w:t>
            </w:r>
          </w:p>
          <w:p w:rsidR="00EC7B9B" w:rsidRDefault="00EC7B9B" w:rsidP="00EC7B9B">
            <w:pPr>
              <w:pStyle w:val="TableBullet"/>
              <w:numPr>
                <w:ilvl w:val="0"/>
                <w:numId w:val="24"/>
              </w:numPr>
            </w:pPr>
            <w:r>
              <w:t>DNA, genes and the continuity of life</w:t>
            </w:r>
          </w:p>
          <w:p w:rsidR="00EC7B9B" w:rsidRDefault="00EC7B9B" w:rsidP="00EC7B9B">
            <w:pPr>
              <w:pStyle w:val="TableBullet"/>
              <w:numPr>
                <w:ilvl w:val="0"/>
                <w:numId w:val="24"/>
              </w:numPr>
            </w:pPr>
            <w:r>
              <w:t>Continuity of life on Earth</w:t>
            </w:r>
          </w:p>
        </w:tc>
      </w:tr>
    </w:tbl>
    <w:p w:rsidR="00EC7B9B" w:rsidRPr="00243FCB" w:rsidRDefault="00EC7B9B" w:rsidP="00243FCB"/>
    <w:p w:rsidR="00EC7B9B" w:rsidRDefault="00EC7B9B" w:rsidP="00EC7B9B">
      <w:pPr>
        <w:pStyle w:val="Heading3"/>
      </w:pPr>
      <w:bookmarkStart w:id="256" w:name="_Toc16163616"/>
      <w:r>
        <w:t>Assessment</w:t>
      </w:r>
      <w:bookmarkEnd w:id="256"/>
    </w:p>
    <w:p w:rsidR="00316849" w:rsidRDefault="00316849" w:rsidP="00316849">
      <w:pPr>
        <w:pStyle w:val="BodyText"/>
      </w:pPr>
      <w:r>
        <w:t>S</w:t>
      </w:r>
      <w:r w:rsidRPr="008C3C06">
        <w:t>chools devise assessment</w:t>
      </w:r>
      <w:r>
        <w:t>s</w:t>
      </w:r>
      <w:r w:rsidRPr="008C3C06">
        <w:t xml:space="preserve"> </w:t>
      </w:r>
      <w:r>
        <w:t>i</w:t>
      </w:r>
      <w:r w:rsidRPr="008C3C06">
        <w:t>n Units 1 and 2 to suit their local context.</w:t>
      </w:r>
      <w:r>
        <w:t xml:space="preserve"> </w:t>
      </w:r>
    </w:p>
    <w:p w:rsidR="00316849" w:rsidRDefault="00316849" w:rsidP="00316849">
      <w:pPr>
        <w:pStyle w:val="BodyText"/>
      </w:pPr>
      <w:r>
        <w:t>I</w:t>
      </w:r>
      <w:r w:rsidRPr="008C3C06">
        <w:t xml:space="preserve">n Units 3 and 4 </w:t>
      </w:r>
      <w:r>
        <w:t>s</w:t>
      </w:r>
      <w:r w:rsidRPr="008C3C06">
        <w:t>tudents complete four summative assessments</w:t>
      </w:r>
      <w:r>
        <w:t>. The results from each of the assessments are added together to provi</w:t>
      </w:r>
      <w:r w:rsidR="00284AA4">
        <w:t xml:space="preserve">de a subject score out of 100. </w:t>
      </w:r>
      <w:r>
        <w:t>Students will also receive an overall subject result (A–E).</w:t>
      </w:r>
    </w:p>
    <w:p w:rsidR="00DE76ED" w:rsidRDefault="00DE76ED" w:rsidP="0017546C">
      <w:pPr>
        <w:pStyle w:val="Caption"/>
        <w:rPr>
          <w:noProof/>
        </w:rPr>
      </w:pPr>
      <w:r>
        <w:t>Summative assessments</w:t>
      </w:r>
    </w:p>
    <w:tbl>
      <w:tblPr>
        <w:tblStyle w:val="QCAAtablestyle1"/>
        <w:tblW w:w="4900" w:type="pct"/>
        <w:tblLayout w:type="fixed"/>
        <w:tblLook w:val="04A0" w:firstRow="1" w:lastRow="0" w:firstColumn="1" w:lastColumn="0" w:noHBand="0" w:noVBand="1"/>
      </w:tblPr>
      <w:tblGrid>
        <w:gridCol w:w="3880"/>
        <w:gridCol w:w="698"/>
        <w:gridCol w:w="3605"/>
        <w:gridCol w:w="697"/>
      </w:tblGrid>
      <w:tr w:rsidR="002616D1" w:rsidTr="007352E6">
        <w:trPr>
          <w:cnfStyle w:val="100000000000" w:firstRow="1" w:lastRow="0" w:firstColumn="0" w:lastColumn="0" w:oddVBand="0" w:evenVBand="0" w:oddHBand="0" w:evenHBand="0" w:firstRowFirstColumn="0" w:firstRowLastColumn="0" w:lastRowFirstColumn="0" w:lastRowLastColumn="0"/>
        </w:trPr>
        <w:tc>
          <w:tcPr>
            <w:tcW w:w="4678" w:type="dxa"/>
            <w:gridSpan w:val="2"/>
          </w:tcPr>
          <w:p w:rsidR="002616D1" w:rsidRDefault="002616D1" w:rsidP="005E70F0">
            <w:pPr>
              <w:pStyle w:val="Tableheading"/>
            </w:pPr>
            <w:bookmarkStart w:id="257" w:name="_Hlk493599900"/>
            <w:r>
              <w:t>Unit 3</w:t>
            </w:r>
          </w:p>
        </w:tc>
        <w:tc>
          <w:tcPr>
            <w:tcW w:w="4394" w:type="dxa"/>
            <w:gridSpan w:val="2"/>
          </w:tcPr>
          <w:p w:rsidR="002616D1" w:rsidRDefault="002616D1" w:rsidP="005E70F0">
            <w:pPr>
              <w:pStyle w:val="Tableheading"/>
            </w:pPr>
            <w:r>
              <w:t>Unit 4</w:t>
            </w:r>
          </w:p>
        </w:tc>
      </w:tr>
      <w:tr w:rsidR="002616D1" w:rsidTr="007352E6">
        <w:tc>
          <w:tcPr>
            <w:tcW w:w="3969" w:type="dxa"/>
          </w:tcPr>
          <w:p w:rsidR="002616D1" w:rsidRDefault="002616D1" w:rsidP="005E70F0">
            <w:pPr>
              <w:pStyle w:val="Tabletext"/>
            </w:pPr>
            <w:r>
              <w:t xml:space="preserve">Summative internal assessment 1 (IA1): </w:t>
            </w:r>
          </w:p>
          <w:p w:rsidR="002616D1" w:rsidRDefault="002616D1" w:rsidP="005E70F0">
            <w:pPr>
              <w:pStyle w:val="TableBullet"/>
            </w:pPr>
            <w:r>
              <w:t>Data test</w:t>
            </w:r>
          </w:p>
        </w:tc>
        <w:tc>
          <w:tcPr>
            <w:tcW w:w="0" w:type="dxa"/>
          </w:tcPr>
          <w:p w:rsidR="002616D1" w:rsidRDefault="002616D1" w:rsidP="005E70F0">
            <w:pPr>
              <w:pStyle w:val="Tabletext"/>
            </w:pPr>
            <w:r>
              <w:t>10%</w:t>
            </w:r>
          </w:p>
        </w:tc>
        <w:tc>
          <w:tcPr>
            <w:tcW w:w="3686" w:type="dxa"/>
            <w:vMerge w:val="restart"/>
          </w:tcPr>
          <w:p w:rsidR="002616D1" w:rsidRDefault="002616D1" w:rsidP="005E70F0">
            <w:pPr>
              <w:pStyle w:val="Tabletext"/>
            </w:pPr>
            <w:r>
              <w:t xml:space="preserve">Summative internal assessment 3 (IA3): </w:t>
            </w:r>
          </w:p>
          <w:p w:rsidR="002616D1" w:rsidRDefault="002616D1" w:rsidP="005E70F0">
            <w:pPr>
              <w:pStyle w:val="TableBullet"/>
            </w:pPr>
            <w:r>
              <w:t>Research investigation</w:t>
            </w:r>
          </w:p>
        </w:tc>
        <w:tc>
          <w:tcPr>
            <w:tcW w:w="708" w:type="dxa"/>
            <w:vMerge w:val="restart"/>
          </w:tcPr>
          <w:p w:rsidR="002616D1" w:rsidRDefault="002616D1" w:rsidP="005E70F0">
            <w:pPr>
              <w:pStyle w:val="Tabletext"/>
            </w:pPr>
            <w:r>
              <w:t>20%</w:t>
            </w:r>
          </w:p>
          <w:p w:rsidR="002616D1" w:rsidRDefault="002616D1" w:rsidP="005E70F0">
            <w:pPr>
              <w:pStyle w:val="Tabletext"/>
            </w:pPr>
          </w:p>
        </w:tc>
      </w:tr>
      <w:tr w:rsidR="002616D1" w:rsidTr="007352E6">
        <w:tc>
          <w:tcPr>
            <w:tcW w:w="3969" w:type="dxa"/>
          </w:tcPr>
          <w:p w:rsidR="002616D1" w:rsidRDefault="002616D1" w:rsidP="005E70F0">
            <w:pPr>
              <w:pStyle w:val="Tabletext"/>
            </w:pPr>
            <w:r>
              <w:t>Summativ</w:t>
            </w:r>
            <w:r w:rsidR="00284AA4">
              <w:t xml:space="preserve">e internal assessment 2 (IA2): </w:t>
            </w:r>
          </w:p>
          <w:p w:rsidR="002616D1" w:rsidRDefault="002616D1" w:rsidP="005E70F0">
            <w:pPr>
              <w:pStyle w:val="TableBullet"/>
            </w:pPr>
            <w:r>
              <w:t xml:space="preserve">Student experiment </w:t>
            </w:r>
          </w:p>
        </w:tc>
        <w:tc>
          <w:tcPr>
            <w:tcW w:w="0" w:type="dxa"/>
          </w:tcPr>
          <w:p w:rsidR="002616D1" w:rsidRDefault="002616D1" w:rsidP="005E70F0">
            <w:pPr>
              <w:pStyle w:val="Tabletext"/>
            </w:pPr>
            <w:r>
              <w:t>20%</w:t>
            </w:r>
          </w:p>
        </w:tc>
        <w:tc>
          <w:tcPr>
            <w:tcW w:w="3686" w:type="dxa"/>
            <w:vMerge/>
          </w:tcPr>
          <w:p w:rsidR="002616D1" w:rsidRDefault="002616D1" w:rsidP="005E70F0">
            <w:pPr>
              <w:pStyle w:val="TableBullet"/>
            </w:pPr>
          </w:p>
        </w:tc>
        <w:tc>
          <w:tcPr>
            <w:tcW w:w="708" w:type="dxa"/>
            <w:vMerge/>
          </w:tcPr>
          <w:p w:rsidR="002616D1" w:rsidRDefault="002616D1" w:rsidP="005E70F0">
            <w:pPr>
              <w:pStyle w:val="Tabletext"/>
            </w:pPr>
          </w:p>
        </w:tc>
      </w:tr>
      <w:tr w:rsidR="00EB76BB" w:rsidTr="00F22672">
        <w:tc>
          <w:tcPr>
            <w:tcW w:w="9072" w:type="dxa"/>
            <w:gridSpan w:val="4"/>
          </w:tcPr>
          <w:p w:rsidR="00EB76BB" w:rsidRDefault="00EB76BB" w:rsidP="00F22672">
            <w:pPr>
              <w:pStyle w:val="Tabletext"/>
              <w:jc w:val="center"/>
            </w:pPr>
            <w:r>
              <w:t>Summative external assessment (EA): 50%</w:t>
            </w:r>
          </w:p>
          <w:p w:rsidR="00EB76BB" w:rsidRDefault="00EB76BB" w:rsidP="00F22672">
            <w:pPr>
              <w:pStyle w:val="TableBullet"/>
              <w:jc w:val="center"/>
            </w:pPr>
            <w:r>
              <w:t>Examination</w:t>
            </w:r>
          </w:p>
        </w:tc>
      </w:tr>
      <w:bookmarkEnd w:id="257"/>
    </w:tbl>
    <w:p w:rsidR="00EC7B9B" w:rsidRPr="005827C4" w:rsidRDefault="00EC7B9B" w:rsidP="005827C4">
      <w:r w:rsidRPr="005827C4">
        <w:br w:type="page"/>
      </w:r>
    </w:p>
    <w:tbl>
      <w:tblPr>
        <w:tblStyle w:val="TextLayout"/>
        <w:tblW w:w="5650" w:type="pct"/>
        <w:tblInd w:w="-170" w:type="dxa"/>
        <w:tblLayout w:type="fixed"/>
        <w:tblLook w:val="04A0" w:firstRow="1" w:lastRow="0" w:firstColumn="1" w:lastColumn="0" w:noHBand="0" w:noVBand="1"/>
      </w:tblPr>
      <w:tblGrid>
        <w:gridCol w:w="141"/>
        <w:gridCol w:w="9264"/>
        <w:gridCol w:w="845"/>
      </w:tblGrid>
      <w:tr w:rsidR="00840BAD" w:rsidRPr="003B6F39" w:rsidTr="002037BC">
        <w:trPr>
          <w:trHeight w:hRule="exact" w:val="851"/>
        </w:trPr>
        <w:tc>
          <w:tcPr>
            <w:tcW w:w="142" w:type="dxa"/>
            <w:shd w:val="clear" w:color="auto" w:fill="84BD00"/>
          </w:tcPr>
          <w:p w:rsidR="00840BAD" w:rsidRDefault="00840BAD" w:rsidP="002037BC">
            <w:pPr>
              <w:pStyle w:val="Tabletext"/>
            </w:pPr>
          </w:p>
        </w:tc>
        <w:tc>
          <w:tcPr>
            <w:tcW w:w="9323" w:type="dxa"/>
            <w:tcMar>
              <w:left w:w="57" w:type="dxa"/>
            </w:tcMar>
            <w:vAlign w:val="center"/>
          </w:tcPr>
          <w:p w:rsidR="00840BAD" w:rsidRDefault="00840BAD" w:rsidP="00F601D0">
            <w:pPr>
              <w:pStyle w:val="SubjectHeading"/>
            </w:pPr>
            <w:r>
              <w:t>Chemistry</w:t>
            </w:r>
          </w:p>
          <w:p w:rsidR="00840BAD" w:rsidRPr="00E86C01" w:rsidRDefault="00840BAD" w:rsidP="002037BC">
            <w:pPr>
              <w:pStyle w:val="Heading3"/>
              <w:spacing w:before="0" w:after="0"/>
            </w:pPr>
            <w:bookmarkStart w:id="258" w:name="_Toc16163617"/>
            <w:r>
              <w:t>General senior subject</w:t>
            </w:r>
            <w:bookmarkEnd w:id="258"/>
          </w:p>
        </w:tc>
        <w:tc>
          <w:tcPr>
            <w:tcW w:w="850" w:type="dxa"/>
            <w:shd w:val="clear" w:color="auto" w:fill="84BD00"/>
            <w:tcMar>
              <w:bottom w:w="28" w:type="dxa"/>
              <w:right w:w="57" w:type="dxa"/>
            </w:tcMar>
            <w:vAlign w:val="bottom"/>
          </w:tcPr>
          <w:p w:rsidR="00840BAD" w:rsidRPr="00C423A4" w:rsidRDefault="00840BAD" w:rsidP="002037BC">
            <w:pPr>
              <w:pStyle w:val="Heading3"/>
              <w:spacing w:before="0" w:after="100" w:afterAutospacing="1"/>
              <w:jc w:val="right"/>
              <w:rPr>
                <w:color w:val="auto"/>
                <w:sz w:val="17"/>
                <w:szCs w:val="17"/>
              </w:rPr>
            </w:pPr>
            <w:bookmarkStart w:id="259" w:name="_Toc16163618"/>
            <w:r w:rsidRPr="00C423A4">
              <w:rPr>
                <w:color w:val="auto"/>
                <w:sz w:val="17"/>
                <w:szCs w:val="17"/>
              </w:rPr>
              <w:t>General</w:t>
            </w:r>
            <w:bookmarkEnd w:id="259"/>
          </w:p>
        </w:tc>
      </w:tr>
      <w:tr w:rsidR="004D730A" w:rsidRPr="003B6F39" w:rsidTr="00CE28F7">
        <w:trPr>
          <w:trHeight w:hRule="exact" w:val="113"/>
        </w:trPr>
        <w:tc>
          <w:tcPr>
            <w:tcW w:w="10315" w:type="dxa"/>
            <w:gridSpan w:val="3"/>
            <w:shd w:val="clear" w:color="auto" w:fill="auto"/>
          </w:tcPr>
          <w:p w:rsidR="004D730A" w:rsidRPr="00C423A4" w:rsidRDefault="004D730A" w:rsidP="00CE28F7">
            <w:pPr>
              <w:pStyle w:val="Heading3"/>
              <w:spacing w:before="0" w:after="100" w:afterAutospacing="1"/>
              <w:rPr>
                <w:color w:val="auto"/>
                <w:sz w:val="17"/>
                <w:szCs w:val="17"/>
              </w:rPr>
            </w:pPr>
          </w:p>
        </w:tc>
      </w:tr>
    </w:tbl>
    <w:p w:rsidR="005B299D" w:rsidRDefault="005B299D" w:rsidP="00EC7B9B">
      <w:pPr>
        <w:pStyle w:val="BodyText"/>
        <w:rPr>
          <w:noProof/>
        </w:rPr>
      </w:pPr>
    </w:p>
    <w:p w:rsidR="00EC7B9B" w:rsidRDefault="00EC7B9B" w:rsidP="00EC7B9B">
      <w:pPr>
        <w:pStyle w:val="BodyText"/>
        <w:spacing w:before="120"/>
        <w:rPr>
          <w:noProof/>
        </w:rPr>
        <w:sectPr w:rsidR="00EC7B9B" w:rsidSect="00500900">
          <w:type w:val="continuous"/>
          <w:pgSz w:w="11907" w:h="16840" w:code="9"/>
          <w:pgMar w:top="1134" w:right="1418" w:bottom="1701" w:left="1418" w:header="567" w:footer="284" w:gutter="0"/>
          <w:cols w:space="720"/>
          <w:formProt w:val="0"/>
          <w:noEndnote/>
          <w:docGrid w:linePitch="299"/>
        </w:sectPr>
      </w:pPr>
    </w:p>
    <w:p w:rsidR="00EC7B9B" w:rsidRDefault="00EC7B9B" w:rsidP="00EC7B9B">
      <w:pPr>
        <w:pStyle w:val="BodyText"/>
        <w:spacing w:before="120"/>
        <w:rPr>
          <w:noProof/>
        </w:rPr>
      </w:pPr>
      <w:r w:rsidRPr="00494C81">
        <w:rPr>
          <w:noProof/>
        </w:rPr>
        <w:t>Chemistry is the study of materials and their properties and structure.</w:t>
      </w:r>
    </w:p>
    <w:p w:rsidR="00EC7B9B" w:rsidRDefault="00EC7B9B" w:rsidP="00EC7B9B">
      <w:pPr>
        <w:pStyle w:val="BodyText"/>
        <w:spacing w:before="120"/>
        <w:rPr>
          <w:noProof/>
        </w:rPr>
      </w:pPr>
      <w:r>
        <w:rPr>
          <w:noProof/>
        </w:rPr>
        <w:t>S</w:t>
      </w:r>
      <w:r w:rsidRPr="00494C81">
        <w:rPr>
          <w:noProof/>
        </w:rPr>
        <w:t xml:space="preserve">tudents study atomic theory, chemical bonding, and the structure and properties of elements and compounds. </w:t>
      </w:r>
      <w:r>
        <w:rPr>
          <w:noProof/>
        </w:rPr>
        <w:t xml:space="preserve">They </w:t>
      </w:r>
      <w:r w:rsidRPr="00494C81">
        <w:rPr>
          <w:noProof/>
        </w:rPr>
        <w:t xml:space="preserve">explore intermolecular forces, gases, aqueous solutions, acidity and rates of reaction. </w:t>
      </w:r>
      <w:r>
        <w:rPr>
          <w:noProof/>
        </w:rPr>
        <w:t>They s</w:t>
      </w:r>
      <w:r w:rsidRPr="00494C81">
        <w:rPr>
          <w:noProof/>
        </w:rPr>
        <w:t>tudy equilibrium processes and redox reactions</w:t>
      </w:r>
      <w:r>
        <w:rPr>
          <w:noProof/>
        </w:rPr>
        <w:t xml:space="preserve">. They </w:t>
      </w:r>
      <w:r w:rsidRPr="00494C81">
        <w:rPr>
          <w:noProof/>
        </w:rPr>
        <w:t>explore organic chemistry, synthesis and design to examine the characteristic chemical properties and chemical reactions displayed by different classes of organic compounds.</w:t>
      </w:r>
    </w:p>
    <w:p w:rsidR="00FD55EE" w:rsidRDefault="00FD55EE" w:rsidP="00FD55EE">
      <w:pPr>
        <w:pStyle w:val="BodyText"/>
        <w:spacing w:before="120"/>
        <w:rPr>
          <w:noProof/>
        </w:rPr>
      </w:pPr>
      <w:r>
        <w:rPr>
          <w:noProof/>
        </w:rPr>
        <w:t>Students develop their appreciation of chemistry and its usefulness; understanding of chemical theories, models and chemical systems; expertise in conducting scientific investigations. They critically evaluate and debate scientific arguments and claims in order to solve problems and generate informed, responsible and ethical conclusions, and communicate chemical understanding and findings through the use of appropriate representations, language and nomenclature.</w:t>
      </w:r>
    </w:p>
    <w:p w:rsidR="00EC7B9B" w:rsidRDefault="00EC7B9B" w:rsidP="00EC7B9B">
      <w:pPr>
        <w:rPr>
          <w:noProof/>
        </w:rPr>
      </w:pPr>
      <w:r>
        <w:rPr>
          <w:noProof/>
        </w:rPr>
        <w:t>S</w:t>
      </w:r>
      <w:r w:rsidRPr="00653A50">
        <w:rPr>
          <w:noProof/>
        </w:rPr>
        <w:t>tudents learn and apply aspects of the knowledge and skills of the discipline (thinking, experimentation, problem-solving and research skills), understand how it works and how it may impact society.</w:t>
      </w:r>
    </w:p>
    <w:p w:rsidR="00EC7B9B" w:rsidRDefault="00EC7B9B" w:rsidP="000341EC">
      <w:pPr>
        <w:pStyle w:val="Heading3"/>
        <w:spacing w:before="0"/>
      </w:pPr>
      <w:bookmarkStart w:id="260" w:name="_Toc16163619"/>
      <w:r>
        <w:t>Pathways</w:t>
      </w:r>
      <w:bookmarkEnd w:id="260"/>
    </w:p>
    <w:p w:rsidR="00EC7B9B" w:rsidRDefault="00EC7B9B" w:rsidP="00EC7B9B">
      <w:pPr>
        <w:pStyle w:val="BodyText"/>
        <w:spacing w:before="120"/>
        <w:rPr>
          <w:noProof/>
        </w:rPr>
      </w:pPr>
      <w:r w:rsidRPr="00653A50">
        <w:rPr>
          <w:noProof/>
        </w:rPr>
        <w:t>A course of study in Chemistry can establish a basis for further education and employment in the fields of forensic science, environmental science, engineering, medicine, pharmacy and sports science.</w:t>
      </w:r>
    </w:p>
    <w:p w:rsidR="00EC7B9B" w:rsidRDefault="00EC7B9B" w:rsidP="00EC7B9B">
      <w:pPr>
        <w:pStyle w:val="Heading3"/>
      </w:pPr>
      <w:bookmarkStart w:id="261" w:name="_Toc16163620"/>
      <w:r>
        <w:t>Objectives</w:t>
      </w:r>
      <w:bookmarkEnd w:id="261"/>
    </w:p>
    <w:p w:rsidR="00EC7B9B" w:rsidRPr="00AF5888" w:rsidRDefault="00EC7B9B" w:rsidP="00EC7B9B">
      <w:pPr>
        <w:pStyle w:val="BodyText"/>
      </w:pPr>
      <w:r w:rsidRPr="00AF5888">
        <w:t>By the conclusion of the course of study, students will:</w:t>
      </w:r>
    </w:p>
    <w:p w:rsidR="00EC7B9B" w:rsidRPr="00AF5888" w:rsidRDefault="00EC7B9B" w:rsidP="00EC7B9B">
      <w:pPr>
        <w:pStyle w:val="ListBullet0"/>
      </w:pPr>
      <w:r w:rsidRPr="00AF5888">
        <w:t xml:space="preserve">describe and explain scientific concepts, theories, models and systems and their limitations </w:t>
      </w:r>
    </w:p>
    <w:p w:rsidR="00EC7B9B" w:rsidRPr="00AF5888" w:rsidRDefault="00EC7B9B" w:rsidP="00EC7B9B">
      <w:pPr>
        <w:pStyle w:val="ListBullet0"/>
      </w:pPr>
      <w:r w:rsidRPr="00AF5888">
        <w:t xml:space="preserve">apply understanding of scientific concepts, theories, models and systems within their limitations </w:t>
      </w:r>
    </w:p>
    <w:p w:rsidR="00EC7B9B" w:rsidRPr="00AF5888" w:rsidRDefault="00EC7B9B" w:rsidP="00EC7B9B">
      <w:pPr>
        <w:pStyle w:val="ListBullet0"/>
      </w:pPr>
      <w:r w:rsidRPr="00AF5888">
        <w:t xml:space="preserve">analyse evidence </w:t>
      </w:r>
    </w:p>
    <w:p w:rsidR="00EC7B9B" w:rsidRPr="00AF5888" w:rsidRDefault="00EC7B9B" w:rsidP="00EC7B9B">
      <w:pPr>
        <w:pStyle w:val="ListBullet0"/>
      </w:pPr>
      <w:r w:rsidRPr="00AF5888">
        <w:t xml:space="preserve">interpret evidence </w:t>
      </w:r>
    </w:p>
    <w:p w:rsidR="00EC7B9B" w:rsidRPr="00AF5888" w:rsidRDefault="00EC7B9B" w:rsidP="00EC7B9B">
      <w:pPr>
        <w:pStyle w:val="ListBullet0"/>
      </w:pPr>
      <w:r w:rsidRPr="00AF5888">
        <w:t xml:space="preserve">investigate phenomena </w:t>
      </w:r>
    </w:p>
    <w:p w:rsidR="00EC7B9B" w:rsidRPr="00AF5888" w:rsidRDefault="00EC7B9B" w:rsidP="00EC7B9B">
      <w:pPr>
        <w:pStyle w:val="ListBullet0"/>
      </w:pPr>
      <w:r w:rsidRPr="00AF5888">
        <w:t xml:space="preserve">evaluate processes, claims and conclusions </w:t>
      </w:r>
    </w:p>
    <w:p w:rsidR="00EC7B9B" w:rsidRPr="00AF5888" w:rsidRDefault="00EC7B9B" w:rsidP="00EC7B9B">
      <w:pPr>
        <w:pStyle w:val="ListBullet0"/>
      </w:pPr>
      <w:r w:rsidRPr="00AF5888">
        <w:t>communicate understandings, findings, arguments and conclusions</w:t>
      </w:r>
      <w:r>
        <w:t>.</w:t>
      </w:r>
    </w:p>
    <w:p w:rsidR="000341EC" w:rsidRDefault="000341EC" w:rsidP="00EC7B9B">
      <w:pPr>
        <w:pStyle w:val="BodyText"/>
        <w:rPr>
          <w:noProof/>
        </w:rPr>
      </w:pPr>
    </w:p>
    <w:p w:rsidR="000341EC" w:rsidRDefault="000341EC" w:rsidP="00EC7B9B">
      <w:pPr>
        <w:pStyle w:val="BodyText"/>
        <w:rPr>
          <w:noProof/>
        </w:rPr>
      </w:pPr>
    </w:p>
    <w:p w:rsidR="000341EC" w:rsidRDefault="000341EC" w:rsidP="00EC7B9B">
      <w:pPr>
        <w:pStyle w:val="BodyText"/>
        <w:rPr>
          <w:noProof/>
        </w:rPr>
        <w:sectPr w:rsidR="000341EC" w:rsidSect="00500900">
          <w:type w:val="continuous"/>
          <w:pgSz w:w="11907" w:h="16840" w:code="9"/>
          <w:pgMar w:top="1134" w:right="1418" w:bottom="1701" w:left="1418" w:header="567" w:footer="284" w:gutter="0"/>
          <w:cols w:num="2" w:space="720"/>
          <w:formProt w:val="0"/>
          <w:noEndnote/>
          <w:docGrid w:linePitch="299"/>
        </w:sectPr>
      </w:pPr>
    </w:p>
    <w:p w:rsidR="002F7819" w:rsidRPr="000341EC" w:rsidRDefault="002F7819" w:rsidP="000341EC">
      <w:r w:rsidRPr="000341EC">
        <w:br w:type="page"/>
      </w:r>
    </w:p>
    <w:p w:rsidR="00EC7B9B" w:rsidRDefault="00EC7B9B" w:rsidP="00EC7B9B">
      <w:pPr>
        <w:pStyle w:val="Heading3"/>
      </w:pPr>
      <w:bookmarkStart w:id="262" w:name="_Toc16163621"/>
      <w:r>
        <w:t>Structure</w:t>
      </w:r>
      <w:bookmarkEnd w:id="262"/>
    </w:p>
    <w:tbl>
      <w:tblPr>
        <w:tblStyle w:val="QCAAtablestyle1"/>
        <w:tblW w:w="4900" w:type="pct"/>
        <w:tblLook w:val="04A0" w:firstRow="1" w:lastRow="0" w:firstColumn="1" w:lastColumn="0" w:noHBand="0" w:noVBand="1"/>
      </w:tblPr>
      <w:tblGrid>
        <w:gridCol w:w="2223"/>
        <w:gridCol w:w="2232"/>
        <w:gridCol w:w="2214"/>
        <w:gridCol w:w="2211"/>
      </w:tblGrid>
      <w:tr w:rsidR="00EC7B9B" w:rsidTr="00B943B4">
        <w:trPr>
          <w:cnfStyle w:val="100000000000" w:firstRow="1" w:lastRow="0" w:firstColumn="0" w:lastColumn="0" w:oddVBand="0" w:evenVBand="0" w:oddHBand="0" w:evenHBand="0" w:firstRowFirstColumn="0" w:firstRowLastColumn="0" w:lastRowFirstColumn="0" w:lastRowLastColumn="0"/>
        </w:trPr>
        <w:tc>
          <w:tcPr>
            <w:tcW w:w="2275" w:type="dxa"/>
          </w:tcPr>
          <w:p w:rsidR="00EC7B9B" w:rsidRPr="00494C81" w:rsidRDefault="00EC7B9B" w:rsidP="00B943B4">
            <w:pPr>
              <w:pStyle w:val="Tableheading"/>
            </w:pPr>
            <w:r w:rsidRPr="00494C81">
              <w:t>Unit 1</w:t>
            </w:r>
          </w:p>
        </w:tc>
        <w:tc>
          <w:tcPr>
            <w:tcW w:w="2275" w:type="dxa"/>
          </w:tcPr>
          <w:p w:rsidR="00EC7B9B" w:rsidRPr="00494C81" w:rsidRDefault="00EC7B9B" w:rsidP="00B943B4">
            <w:pPr>
              <w:pStyle w:val="Tableheading"/>
            </w:pPr>
            <w:r w:rsidRPr="00494C81">
              <w:t>Unit 2</w:t>
            </w:r>
          </w:p>
        </w:tc>
        <w:tc>
          <w:tcPr>
            <w:tcW w:w="2275" w:type="dxa"/>
          </w:tcPr>
          <w:p w:rsidR="00EC7B9B" w:rsidRPr="00494C81" w:rsidRDefault="00EC7B9B" w:rsidP="00B943B4">
            <w:pPr>
              <w:pStyle w:val="Tableheading"/>
            </w:pPr>
            <w:r w:rsidRPr="00494C81">
              <w:t>Unit 3</w:t>
            </w:r>
          </w:p>
        </w:tc>
        <w:tc>
          <w:tcPr>
            <w:tcW w:w="2276" w:type="dxa"/>
          </w:tcPr>
          <w:p w:rsidR="00EC7B9B" w:rsidRPr="00494C81" w:rsidRDefault="00EC7B9B" w:rsidP="00B943B4">
            <w:pPr>
              <w:pStyle w:val="Tableheading"/>
            </w:pPr>
            <w:r w:rsidRPr="00494C81">
              <w:t>Unit 4</w:t>
            </w:r>
          </w:p>
        </w:tc>
      </w:tr>
      <w:tr w:rsidR="00EC7B9B" w:rsidTr="00B943B4">
        <w:tc>
          <w:tcPr>
            <w:tcW w:w="0" w:type="dxa"/>
          </w:tcPr>
          <w:p w:rsidR="00EC7B9B" w:rsidRPr="00AF5888" w:rsidRDefault="00EC7B9B" w:rsidP="00B943B4">
            <w:pPr>
              <w:pStyle w:val="TableText0"/>
              <w:rPr>
                <w:b/>
              </w:rPr>
            </w:pPr>
            <w:r w:rsidRPr="00AF5888">
              <w:rPr>
                <w:b/>
              </w:rPr>
              <w:t>Chemical fundamentals — structure, properties and reactions</w:t>
            </w:r>
          </w:p>
          <w:p w:rsidR="00EC7B9B" w:rsidRDefault="00EC7B9B" w:rsidP="00EC7B9B">
            <w:pPr>
              <w:pStyle w:val="TableBullet"/>
              <w:numPr>
                <w:ilvl w:val="0"/>
                <w:numId w:val="24"/>
              </w:numPr>
            </w:pPr>
            <w:r>
              <w:t>Properties and structure of atoms</w:t>
            </w:r>
          </w:p>
          <w:p w:rsidR="00EC7B9B" w:rsidRDefault="00EC7B9B" w:rsidP="00EC7B9B">
            <w:pPr>
              <w:pStyle w:val="TableBullet"/>
              <w:numPr>
                <w:ilvl w:val="0"/>
                <w:numId w:val="24"/>
              </w:numPr>
            </w:pPr>
            <w:r>
              <w:t>Properties and structure of materials</w:t>
            </w:r>
          </w:p>
          <w:p w:rsidR="00EC7B9B" w:rsidRDefault="00EC7B9B" w:rsidP="00EC7B9B">
            <w:pPr>
              <w:pStyle w:val="TableBullet"/>
              <w:numPr>
                <w:ilvl w:val="0"/>
                <w:numId w:val="24"/>
              </w:numPr>
            </w:pPr>
            <w:r>
              <w:t>Chemical reactions —reactants, products and energy change</w:t>
            </w:r>
          </w:p>
        </w:tc>
        <w:tc>
          <w:tcPr>
            <w:tcW w:w="0" w:type="dxa"/>
          </w:tcPr>
          <w:p w:rsidR="00EC7B9B" w:rsidRPr="00AF5888" w:rsidRDefault="00EC7B9B" w:rsidP="00B943B4">
            <w:pPr>
              <w:pStyle w:val="TableText0"/>
              <w:rPr>
                <w:b/>
              </w:rPr>
            </w:pPr>
            <w:r w:rsidRPr="00AF5888">
              <w:rPr>
                <w:b/>
              </w:rPr>
              <w:t>Molecular interactions and reactions</w:t>
            </w:r>
          </w:p>
          <w:p w:rsidR="00EC7B9B" w:rsidRDefault="00EC7B9B" w:rsidP="00EC7B9B">
            <w:pPr>
              <w:pStyle w:val="TableBullet"/>
              <w:numPr>
                <w:ilvl w:val="0"/>
                <w:numId w:val="24"/>
              </w:numPr>
            </w:pPr>
            <w:r>
              <w:t>Intermolecular forces and gases</w:t>
            </w:r>
          </w:p>
          <w:p w:rsidR="00EC7B9B" w:rsidRDefault="00EC7B9B" w:rsidP="00EC7B9B">
            <w:pPr>
              <w:pStyle w:val="TableBullet"/>
              <w:numPr>
                <w:ilvl w:val="0"/>
                <w:numId w:val="24"/>
              </w:numPr>
            </w:pPr>
            <w:r>
              <w:t>Aqueous solutions and acidity</w:t>
            </w:r>
          </w:p>
          <w:p w:rsidR="00EC7B9B" w:rsidRDefault="00EC7B9B" w:rsidP="00EC7B9B">
            <w:pPr>
              <w:pStyle w:val="TableBullet"/>
              <w:numPr>
                <w:ilvl w:val="0"/>
                <w:numId w:val="24"/>
              </w:numPr>
            </w:pPr>
            <w:r>
              <w:t>Rates of chemical reactions</w:t>
            </w:r>
          </w:p>
        </w:tc>
        <w:tc>
          <w:tcPr>
            <w:tcW w:w="0" w:type="dxa"/>
            <w:shd w:val="clear" w:color="auto" w:fill="auto"/>
          </w:tcPr>
          <w:p w:rsidR="00EC7B9B" w:rsidRPr="00AF5888" w:rsidRDefault="00EC7B9B" w:rsidP="00B943B4">
            <w:pPr>
              <w:pStyle w:val="TableText0"/>
              <w:rPr>
                <w:b/>
              </w:rPr>
            </w:pPr>
            <w:r w:rsidRPr="00AF5888">
              <w:rPr>
                <w:b/>
              </w:rPr>
              <w:t>Equilibrium, acids and redox reactions</w:t>
            </w:r>
          </w:p>
          <w:p w:rsidR="00EC7B9B" w:rsidRDefault="00EC7B9B" w:rsidP="00EC7B9B">
            <w:pPr>
              <w:pStyle w:val="TableBullet"/>
              <w:numPr>
                <w:ilvl w:val="0"/>
                <w:numId w:val="24"/>
              </w:numPr>
            </w:pPr>
            <w:r>
              <w:t>Chemical equilibrium systems</w:t>
            </w:r>
          </w:p>
          <w:p w:rsidR="00EC7B9B" w:rsidRDefault="00EC7B9B" w:rsidP="00EC7B9B">
            <w:pPr>
              <w:pStyle w:val="TableBullet"/>
              <w:numPr>
                <w:ilvl w:val="0"/>
                <w:numId w:val="24"/>
              </w:numPr>
            </w:pPr>
            <w:r>
              <w:t>Oxidation and reduction</w:t>
            </w:r>
          </w:p>
        </w:tc>
        <w:tc>
          <w:tcPr>
            <w:tcW w:w="0" w:type="dxa"/>
            <w:shd w:val="clear" w:color="auto" w:fill="auto"/>
          </w:tcPr>
          <w:p w:rsidR="00EC7B9B" w:rsidRPr="00AF5888" w:rsidRDefault="00EC7B9B" w:rsidP="00B943B4">
            <w:pPr>
              <w:pStyle w:val="TableText0"/>
              <w:rPr>
                <w:b/>
              </w:rPr>
            </w:pPr>
            <w:r w:rsidRPr="00AF5888">
              <w:rPr>
                <w:b/>
              </w:rPr>
              <w:t>Structure, synthesis and design</w:t>
            </w:r>
          </w:p>
          <w:p w:rsidR="00EC7B9B" w:rsidRDefault="00EC7B9B" w:rsidP="00EC7B9B">
            <w:pPr>
              <w:pStyle w:val="TableBullet"/>
              <w:numPr>
                <w:ilvl w:val="0"/>
                <w:numId w:val="24"/>
              </w:numPr>
            </w:pPr>
            <w:r>
              <w:t>Properties and structure of organic materials</w:t>
            </w:r>
          </w:p>
          <w:p w:rsidR="00EC7B9B" w:rsidRDefault="00EC7B9B" w:rsidP="00EC7B9B">
            <w:pPr>
              <w:pStyle w:val="TableBullet"/>
              <w:numPr>
                <w:ilvl w:val="0"/>
                <w:numId w:val="24"/>
              </w:numPr>
            </w:pPr>
            <w:r>
              <w:t>Chemical synthesis and design</w:t>
            </w:r>
          </w:p>
        </w:tc>
      </w:tr>
    </w:tbl>
    <w:p w:rsidR="00EC7B9B" w:rsidRDefault="00EC7B9B" w:rsidP="00EC7B9B">
      <w:pPr>
        <w:pStyle w:val="Heading3"/>
      </w:pPr>
      <w:bookmarkStart w:id="263" w:name="_Toc16163622"/>
      <w:r>
        <w:t>Assessment</w:t>
      </w:r>
      <w:bookmarkEnd w:id="263"/>
    </w:p>
    <w:p w:rsidR="00316849" w:rsidRDefault="00316849" w:rsidP="00316849">
      <w:pPr>
        <w:pStyle w:val="BodyText"/>
      </w:pPr>
      <w:r>
        <w:t>S</w:t>
      </w:r>
      <w:r w:rsidRPr="008C3C06">
        <w:t>chools devise assessment</w:t>
      </w:r>
      <w:r>
        <w:t>s</w:t>
      </w:r>
      <w:r w:rsidRPr="008C3C06">
        <w:t xml:space="preserve"> </w:t>
      </w:r>
      <w:r>
        <w:t>i</w:t>
      </w:r>
      <w:r w:rsidRPr="008C3C06">
        <w:t>n Units 1 and 2 to suit their local context.</w:t>
      </w:r>
      <w:r>
        <w:t xml:space="preserve"> </w:t>
      </w:r>
    </w:p>
    <w:p w:rsidR="00316849" w:rsidRDefault="00316849" w:rsidP="00316849">
      <w:pPr>
        <w:pStyle w:val="BodyText"/>
      </w:pPr>
      <w:r>
        <w:t>I</w:t>
      </w:r>
      <w:r w:rsidRPr="008C3C06">
        <w:t xml:space="preserve">n Units 3 and 4 </w:t>
      </w:r>
      <w:r>
        <w:t>s</w:t>
      </w:r>
      <w:r w:rsidRPr="008C3C06">
        <w:t>tudents complete four summative assessments</w:t>
      </w:r>
      <w:r>
        <w:t>. The results from each of the assessments are added together to provi</w:t>
      </w:r>
      <w:r w:rsidR="00007DCE">
        <w:t xml:space="preserve">de a subject score out of 100. </w:t>
      </w:r>
      <w:r>
        <w:t>Students will also receive an overall subject result (A–E).</w:t>
      </w:r>
    </w:p>
    <w:p w:rsidR="00DE76ED" w:rsidRDefault="00DE76ED" w:rsidP="005827C4">
      <w:pPr>
        <w:pStyle w:val="Caption"/>
        <w:rPr>
          <w:noProof/>
        </w:rPr>
      </w:pPr>
      <w:r>
        <w:t>Summative assessments</w:t>
      </w:r>
    </w:p>
    <w:tbl>
      <w:tblPr>
        <w:tblStyle w:val="QCAAtablestyle1"/>
        <w:tblW w:w="4900" w:type="pct"/>
        <w:tblLayout w:type="fixed"/>
        <w:tblLook w:val="04A0" w:firstRow="1" w:lastRow="0" w:firstColumn="1" w:lastColumn="0" w:noHBand="0" w:noVBand="1"/>
      </w:tblPr>
      <w:tblGrid>
        <w:gridCol w:w="3805"/>
        <w:gridCol w:w="705"/>
        <w:gridCol w:w="3664"/>
        <w:gridCol w:w="706"/>
      </w:tblGrid>
      <w:tr w:rsidR="002616D1" w:rsidTr="00E6313C">
        <w:trPr>
          <w:cnfStyle w:val="100000000000" w:firstRow="1" w:lastRow="0" w:firstColumn="0" w:lastColumn="0" w:oddVBand="0" w:evenVBand="0" w:oddHBand="0" w:evenHBand="0" w:firstRowFirstColumn="0" w:firstRowLastColumn="0" w:lastRowFirstColumn="0" w:lastRowLastColumn="0"/>
        </w:trPr>
        <w:tc>
          <w:tcPr>
            <w:tcW w:w="4536" w:type="dxa"/>
            <w:gridSpan w:val="2"/>
          </w:tcPr>
          <w:p w:rsidR="002616D1" w:rsidRPr="00494C81" w:rsidRDefault="002616D1" w:rsidP="00B943B4">
            <w:pPr>
              <w:pStyle w:val="Tableheading"/>
            </w:pPr>
            <w:r w:rsidRPr="00494C81">
              <w:t>Unit 3</w:t>
            </w:r>
          </w:p>
        </w:tc>
        <w:tc>
          <w:tcPr>
            <w:tcW w:w="4395" w:type="dxa"/>
            <w:gridSpan w:val="2"/>
          </w:tcPr>
          <w:p w:rsidR="002616D1" w:rsidRPr="00494C81" w:rsidRDefault="002616D1" w:rsidP="00B943B4">
            <w:pPr>
              <w:pStyle w:val="Tableheading"/>
            </w:pPr>
            <w:r w:rsidRPr="00494C81">
              <w:t>Unit 4</w:t>
            </w:r>
          </w:p>
        </w:tc>
      </w:tr>
      <w:tr w:rsidR="002616D1" w:rsidTr="00E6313C">
        <w:tc>
          <w:tcPr>
            <w:tcW w:w="3828" w:type="dxa"/>
          </w:tcPr>
          <w:p w:rsidR="002616D1" w:rsidRDefault="002616D1" w:rsidP="00B943B4">
            <w:pPr>
              <w:pStyle w:val="Tabletext"/>
            </w:pPr>
            <w:r>
              <w:t xml:space="preserve">Summative internal assessment 1 (IA1): </w:t>
            </w:r>
          </w:p>
          <w:p w:rsidR="002616D1" w:rsidRDefault="002616D1" w:rsidP="00EC7B9B">
            <w:pPr>
              <w:pStyle w:val="TableBullet"/>
              <w:numPr>
                <w:ilvl w:val="0"/>
                <w:numId w:val="24"/>
              </w:numPr>
            </w:pPr>
            <w:r>
              <w:t>Data test</w:t>
            </w:r>
          </w:p>
        </w:tc>
        <w:tc>
          <w:tcPr>
            <w:tcW w:w="708" w:type="dxa"/>
          </w:tcPr>
          <w:p w:rsidR="002616D1" w:rsidRDefault="002616D1" w:rsidP="00B943B4">
            <w:pPr>
              <w:pStyle w:val="Tabletext"/>
            </w:pPr>
            <w:r>
              <w:t>10%</w:t>
            </w:r>
          </w:p>
        </w:tc>
        <w:tc>
          <w:tcPr>
            <w:tcW w:w="3686" w:type="dxa"/>
            <w:vMerge w:val="restart"/>
          </w:tcPr>
          <w:p w:rsidR="002616D1" w:rsidRDefault="002616D1" w:rsidP="00B943B4">
            <w:pPr>
              <w:pStyle w:val="Tabletext"/>
            </w:pPr>
            <w:r>
              <w:t xml:space="preserve">Summative internal assessment 3 (IA3): </w:t>
            </w:r>
          </w:p>
          <w:p w:rsidR="002616D1" w:rsidRDefault="002616D1" w:rsidP="00EC7B9B">
            <w:pPr>
              <w:pStyle w:val="TableBullet"/>
              <w:numPr>
                <w:ilvl w:val="0"/>
                <w:numId w:val="24"/>
              </w:numPr>
            </w:pPr>
            <w:r>
              <w:t>Research investigation</w:t>
            </w:r>
          </w:p>
          <w:p w:rsidR="002616D1" w:rsidRDefault="002616D1" w:rsidP="008C3C06">
            <w:pPr>
              <w:pStyle w:val="TableBullet"/>
              <w:numPr>
                <w:ilvl w:val="0"/>
                <w:numId w:val="0"/>
              </w:numPr>
              <w:ind w:left="170"/>
            </w:pPr>
          </w:p>
        </w:tc>
        <w:tc>
          <w:tcPr>
            <w:tcW w:w="709" w:type="dxa"/>
            <w:vMerge w:val="restart"/>
          </w:tcPr>
          <w:p w:rsidR="002616D1" w:rsidRDefault="002616D1" w:rsidP="00B943B4">
            <w:pPr>
              <w:pStyle w:val="Tabletext"/>
            </w:pPr>
            <w:r>
              <w:t>20%</w:t>
            </w:r>
          </w:p>
          <w:p w:rsidR="002616D1" w:rsidRDefault="002616D1" w:rsidP="00B943B4">
            <w:pPr>
              <w:pStyle w:val="Tabletext"/>
            </w:pPr>
          </w:p>
        </w:tc>
      </w:tr>
      <w:tr w:rsidR="002616D1" w:rsidTr="00E6313C">
        <w:tc>
          <w:tcPr>
            <w:tcW w:w="3828" w:type="dxa"/>
          </w:tcPr>
          <w:p w:rsidR="002616D1" w:rsidRDefault="002616D1" w:rsidP="00B943B4">
            <w:pPr>
              <w:pStyle w:val="Tabletext"/>
            </w:pPr>
            <w:r>
              <w:t>Summativ</w:t>
            </w:r>
            <w:r w:rsidR="00284AA4">
              <w:t xml:space="preserve">e internal assessment 2 (IA2): </w:t>
            </w:r>
          </w:p>
          <w:p w:rsidR="002616D1" w:rsidRDefault="002616D1" w:rsidP="00EC7B9B">
            <w:pPr>
              <w:pStyle w:val="TableBullet"/>
              <w:numPr>
                <w:ilvl w:val="0"/>
                <w:numId w:val="24"/>
              </w:numPr>
            </w:pPr>
            <w:r>
              <w:t xml:space="preserve">Student experiment </w:t>
            </w:r>
          </w:p>
        </w:tc>
        <w:tc>
          <w:tcPr>
            <w:tcW w:w="708" w:type="dxa"/>
          </w:tcPr>
          <w:p w:rsidR="002616D1" w:rsidRDefault="002616D1" w:rsidP="00B943B4">
            <w:pPr>
              <w:pStyle w:val="Tabletext"/>
            </w:pPr>
            <w:r>
              <w:t>20%</w:t>
            </w:r>
          </w:p>
        </w:tc>
        <w:tc>
          <w:tcPr>
            <w:tcW w:w="3686" w:type="dxa"/>
            <w:vMerge/>
          </w:tcPr>
          <w:p w:rsidR="002616D1" w:rsidRDefault="002616D1" w:rsidP="008C3C06">
            <w:pPr>
              <w:pStyle w:val="TableBullet"/>
              <w:numPr>
                <w:ilvl w:val="0"/>
                <w:numId w:val="0"/>
              </w:numPr>
              <w:ind w:left="170"/>
            </w:pPr>
          </w:p>
        </w:tc>
        <w:tc>
          <w:tcPr>
            <w:tcW w:w="709" w:type="dxa"/>
            <w:vMerge/>
          </w:tcPr>
          <w:p w:rsidR="002616D1" w:rsidRDefault="002616D1" w:rsidP="00B943B4">
            <w:pPr>
              <w:pStyle w:val="Tabletext"/>
            </w:pPr>
          </w:p>
        </w:tc>
      </w:tr>
      <w:tr w:rsidR="00341E42" w:rsidTr="00FD55EE">
        <w:tc>
          <w:tcPr>
            <w:tcW w:w="8931" w:type="dxa"/>
            <w:gridSpan w:val="4"/>
          </w:tcPr>
          <w:p w:rsidR="00341E42" w:rsidRPr="00341E42" w:rsidRDefault="00341E42" w:rsidP="00FD55EE">
            <w:pPr>
              <w:pStyle w:val="Tabletext"/>
              <w:jc w:val="center"/>
            </w:pPr>
            <w:r w:rsidRPr="00341E42">
              <w:t>Summative external assessment (EA): 50%</w:t>
            </w:r>
          </w:p>
          <w:p w:rsidR="00341E42" w:rsidRDefault="00341E42" w:rsidP="00FD55EE">
            <w:pPr>
              <w:pStyle w:val="TableBullet"/>
              <w:jc w:val="center"/>
            </w:pPr>
            <w:r w:rsidRPr="00341E42">
              <w:t>Examination</w:t>
            </w:r>
          </w:p>
        </w:tc>
      </w:tr>
    </w:tbl>
    <w:p w:rsidR="00EC7B9B" w:rsidRDefault="00EC7B9B" w:rsidP="00EC7B9B"/>
    <w:p w:rsidR="00EC7B9B" w:rsidRDefault="00EC7B9B" w:rsidP="00EC7B9B">
      <w:r>
        <w:br w:type="page"/>
      </w:r>
    </w:p>
    <w:p w:rsidR="00EC7B9B" w:rsidRDefault="00EC7B9B" w:rsidP="00EC7B9B"/>
    <w:tbl>
      <w:tblPr>
        <w:tblStyle w:val="TextLayout"/>
        <w:tblW w:w="5650" w:type="pct"/>
        <w:tblInd w:w="-170" w:type="dxa"/>
        <w:tblLayout w:type="fixed"/>
        <w:tblLook w:val="04A0" w:firstRow="1" w:lastRow="0" w:firstColumn="1" w:lastColumn="0" w:noHBand="0" w:noVBand="1"/>
      </w:tblPr>
      <w:tblGrid>
        <w:gridCol w:w="141"/>
        <w:gridCol w:w="9264"/>
        <w:gridCol w:w="845"/>
      </w:tblGrid>
      <w:tr w:rsidR="00840BAD" w:rsidRPr="003B6F39" w:rsidTr="002037BC">
        <w:trPr>
          <w:trHeight w:hRule="exact" w:val="851"/>
        </w:trPr>
        <w:tc>
          <w:tcPr>
            <w:tcW w:w="142" w:type="dxa"/>
            <w:shd w:val="clear" w:color="auto" w:fill="84BD00"/>
          </w:tcPr>
          <w:p w:rsidR="00840BAD" w:rsidRDefault="00840BAD" w:rsidP="002037BC">
            <w:pPr>
              <w:pStyle w:val="Tabletext"/>
            </w:pPr>
          </w:p>
        </w:tc>
        <w:tc>
          <w:tcPr>
            <w:tcW w:w="9323" w:type="dxa"/>
            <w:tcMar>
              <w:left w:w="57" w:type="dxa"/>
            </w:tcMar>
            <w:vAlign w:val="center"/>
          </w:tcPr>
          <w:p w:rsidR="00840BAD" w:rsidRDefault="00840BAD" w:rsidP="00F601D0">
            <w:pPr>
              <w:pStyle w:val="SubjectHeading"/>
            </w:pPr>
            <w:r>
              <w:t>Marine Science</w:t>
            </w:r>
          </w:p>
          <w:p w:rsidR="00840BAD" w:rsidRPr="00E86C01" w:rsidRDefault="00840BAD" w:rsidP="002037BC">
            <w:pPr>
              <w:pStyle w:val="Heading3"/>
              <w:spacing w:before="0" w:after="0"/>
            </w:pPr>
            <w:bookmarkStart w:id="264" w:name="_Toc16163623"/>
            <w:r>
              <w:t>General senior subject</w:t>
            </w:r>
            <w:bookmarkEnd w:id="264"/>
          </w:p>
        </w:tc>
        <w:tc>
          <w:tcPr>
            <w:tcW w:w="850" w:type="dxa"/>
            <w:shd w:val="clear" w:color="auto" w:fill="84BD00"/>
            <w:tcMar>
              <w:bottom w:w="28" w:type="dxa"/>
              <w:right w:w="57" w:type="dxa"/>
            </w:tcMar>
            <w:vAlign w:val="bottom"/>
          </w:tcPr>
          <w:p w:rsidR="00840BAD" w:rsidRPr="00C423A4" w:rsidRDefault="00840BAD" w:rsidP="002037BC">
            <w:pPr>
              <w:pStyle w:val="Heading3"/>
              <w:spacing w:before="0" w:after="100" w:afterAutospacing="1"/>
              <w:jc w:val="right"/>
              <w:rPr>
                <w:color w:val="auto"/>
                <w:sz w:val="17"/>
                <w:szCs w:val="17"/>
              </w:rPr>
            </w:pPr>
            <w:bookmarkStart w:id="265" w:name="_Toc16163624"/>
            <w:r w:rsidRPr="00C423A4">
              <w:rPr>
                <w:color w:val="auto"/>
                <w:sz w:val="17"/>
                <w:szCs w:val="17"/>
              </w:rPr>
              <w:t>General</w:t>
            </w:r>
            <w:bookmarkEnd w:id="265"/>
          </w:p>
        </w:tc>
      </w:tr>
      <w:tr w:rsidR="004D730A" w:rsidRPr="003B6F39" w:rsidTr="00CE28F7">
        <w:trPr>
          <w:trHeight w:hRule="exact" w:val="113"/>
        </w:trPr>
        <w:tc>
          <w:tcPr>
            <w:tcW w:w="10315" w:type="dxa"/>
            <w:gridSpan w:val="3"/>
            <w:shd w:val="clear" w:color="auto" w:fill="auto"/>
          </w:tcPr>
          <w:p w:rsidR="004D730A" w:rsidRPr="00C423A4" w:rsidRDefault="004D730A" w:rsidP="00CE28F7">
            <w:pPr>
              <w:pStyle w:val="Heading3"/>
              <w:spacing w:before="0" w:after="100" w:afterAutospacing="1"/>
              <w:rPr>
                <w:color w:val="auto"/>
                <w:sz w:val="17"/>
                <w:szCs w:val="17"/>
              </w:rPr>
            </w:pPr>
          </w:p>
        </w:tc>
      </w:tr>
    </w:tbl>
    <w:p w:rsidR="005B299D" w:rsidRDefault="005B299D" w:rsidP="00B943B4">
      <w:pPr>
        <w:pStyle w:val="BodyText"/>
        <w:rPr>
          <w:noProof/>
        </w:rPr>
      </w:pPr>
    </w:p>
    <w:p w:rsidR="00B943B4" w:rsidRDefault="00B943B4" w:rsidP="00B943B4">
      <w:pPr>
        <w:pStyle w:val="BodyText"/>
        <w:spacing w:before="120"/>
        <w:rPr>
          <w:noProof/>
        </w:rPr>
        <w:sectPr w:rsidR="00B943B4" w:rsidSect="00500900">
          <w:type w:val="continuous"/>
          <w:pgSz w:w="11907" w:h="16840" w:code="9"/>
          <w:pgMar w:top="1134" w:right="1418" w:bottom="1701" w:left="1418" w:header="567" w:footer="284" w:gutter="0"/>
          <w:cols w:space="720"/>
          <w:formProt w:val="0"/>
          <w:noEndnote/>
          <w:docGrid w:linePitch="299"/>
        </w:sectPr>
      </w:pPr>
    </w:p>
    <w:p w:rsidR="00B943B4" w:rsidRDefault="00B943B4" w:rsidP="00B943B4">
      <w:pPr>
        <w:pStyle w:val="BodyText"/>
        <w:spacing w:before="120"/>
        <w:rPr>
          <w:noProof/>
        </w:rPr>
      </w:pPr>
      <w:r w:rsidRPr="00465F6F">
        <w:rPr>
          <w:noProof/>
        </w:rPr>
        <w:t xml:space="preserve">Marine Science provides opportunities for students to study an interdisciplinary science focusing on marine environments and the consequences of human influences on ocean resources. </w:t>
      </w:r>
    </w:p>
    <w:p w:rsidR="00B943B4" w:rsidRDefault="00B943B4" w:rsidP="00B943B4">
      <w:pPr>
        <w:pStyle w:val="BodyText"/>
        <w:spacing w:before="120"/>
        <w:rPr>
          <w:noProof/>
        </w:rPr>
      </w:pPr>
      <w:r>
        <w:rPr>
          <w:noProof/>
        </w:rPr>
        <w:t>S</w:t>
      </w:r>
      <w:r w:rsidRPr="00465F6F">
        <w:rPr>
          <w:noProof/>
        </w:rPr>
        <w:t>tudents develop their understanding of oceanography.</w:t>
      </w:r>
      <w:r w:rsidRPr="00465F6F">
        <w:t xml:space="preserve"> </w:t>
      </w:r>
      <w:r>
        <w:t xml:space="preserve">They </w:t>
      </w:r>
      <w:r w:rsidRPr="00465F6F">
        <w:rPr>
          <w:noProof/>
        </w:rPr>
        <w:t xml:space="preserve">engage with the concept of marine biology. </w:t>
      </w:r>
      <w:r>
        <w:rPr>
          <w:noProof/>
        </w:rPr>
        <w:t xml:space="preserve">They </w:t>
      </w:r>
      <w:r w:rsidRPr="00465F6F">
        <w:rPr>
          <w:noProof/>
        </w:rPr>
        <w:t xml:space="preserve">study coral reef ecology, changes to the reef and the connectivity between marine systems. This knowledge is linked </w:t>
      </w:r>
      <w:r>
        <w:rPr>
          <w:noProof/>
        </w:rPr>
        <w:t>w</w:t>
      </w:r>
      <w:r w:rsidRPr="00465F6F">
        <w:rPr>
          <w:noProof/>
        </w:rPr>
        <w:t xml:space="preserve">ith ocean issues and resource management where students apply knowledge to consider the future of our oceans and techniques for managing fisheries. </w:t>
      </w:r>
    </w:p>
    <w:p w:rsidR="00B943B4" w:rsidRDefault="00341E42" w:rsidP="00B943B4">
      <w:pPr>
        <w:pStyle w:val="BodyText"/>
        <w:spacing w:before="120"/>
        <w:rPr>
          <w:noProof/>
        </w:rPr>
      </w:pPr>
      <w:r w:rsidRPr="00341E42">
        <w:rPr>
          <w:noProof/>
        </w:rPr>
        <w:t>Students learn and apply aspects of the knowledge and skills of the discipline (thinking, experimentation, problem-solving and research skills), understand how it works and how it may impact society.</w:t>
      </w:r>
    </w:p>
    <w:p w:rsidR="00B943B4" w:rsidRDefault="00B943B4" w:rsidP="00B943B4">
      <w:pPr>
        <w:pStyle w:val="Heading3"/>
      </w:pPr>
      <w:bookmarkStart w:id="266" w:name="_Toc16163625"/>
      <w:r>
        <w:t>Pathways</w:t>
      </w:r>
      <w:bookmarkEnd w:id="266"/>
    </w:p>
    <w:p w:rsidR="00B943B4" w:rsidRDefault="00B943B4" w:rsidP="00B943B4">
      <w:pPr>
        <w:pStyle w:val="BodyText"/>
        <w:spacing w:before="120"/>
        <w:rPr>
          <w:noProof/>
        </w:rPr>
      </w:pPr>
      <w:r w:rsidRPr="001E6001">
        <w:rPr>
          <w:noProof/>
        </w:rPr>
        <w:t>A course of study in Marine Science can establish a basis for further education and employment in the fields of marine sciences, biotechnology, aquaculture, environmental rehabilitation, biosecurity, quarantine, conservation and sustainability.</w:t>
      </w:r>
    </w:p>
    <w:p w:rsidR="00B943B4" w:rsidRDefault="00B943B4" w:rsidP="00B943B4">
      <w:pPr>
        <w:pStyle w:val="Heading3"/>
      </w:pPr>
      <w:bookmarkStart w:id="267" w:name="_Toc16163626"/>
      <w:r>
        <w:t>Objectives</w:t>
      </w:r>
      <w:bookmarkEnd w:id="267"/>
    </w:p>
    <w:p w:rsidR="00B943B4" w:rsidRDefault="00B943B4" w:rsidP="00B943B4">
      <w:pPr>
        <w:pStyle w:val="BodyText"/>
        <w:spacing w:before="120"/>
        <w:rPr>
          <w:noProof/>
        </w:rPr>
      </w:pPr>
      <w:r w:rsidRPr="001E6001">
        <w:rPr>
          <w:noProof/>
        </w:rPr>
        <w:t>By the conclusion of the course of study, students will:</w:t>
      </w:r>
    </w:p>
    <w:p w:rsidR="00B943B4" w:rsidRDefault="00B943B4" w:rsidP="00B943B4">
      <w:pPr>
        <w:pStyle w:val="ListBullet0"/>
        <w:rPr>
          <w:noProof/>
        </w:rPr>
      </w:pPr>
      <w:r>
        <w:rPr>
          <w:noProof/>
        </w:rPr>
        <w:t>describe and explain scientific concepts, theories, models and systems and their limitations</w:t>
      </w:r>
    </w:p>
    <w:p w:rsidR="00B943B4" w:rsidRDefault="00B943B4" w:rsidP="00B943B4">
      <w:pPr>
        <w:pStyle w:val="ListBullet0"/>
        <w:rPr>
          <w:noProof/>
        </w:rPr>
      </w:pPr>
      <w:r>
        <w:rPr>
          <w:noProof/>
        </w:rPr>
        <w:t>apply understanding of scientific concepts, theories, models and systems within their limitations</w:t>
      </w:r>
    </w:p>
    <w:p w:rsidR="00B943B4" w:rsidRDefault="00B943B4" w:rsidP="00B943B4">
      <w:pPr>
        <w:pStyle w:val="ListBullet0"/>
        <w:rPr>
          <w:noProof/>
        </w:rPr>
      </w:pPr>
      <w:r>
        <w:rPr>
          <w:noProof/>
        </w:rPr>
        <w:t>analyse evidence</w:t>
      </w:r>
    </w:p>
    <w:p w:rsidR="00B943B4" w:rsidRDefault="00B943B4" w:rsidP="00B943B4">
      <w:pPr>
        <w:pStyle w:val="ListBullet0"/>
        <w:rPr>
          <w:noProof/>
        </w:rPr>
      </w:pPr>
      <w:r>
        <w:rPr>
          <w:noProof/>
        </w:rPr>
        <w:t>interpret evidence</w:t>
      </w:r>
    </w:p>
    <w:p w:rsidR="00B943B4" w:rsidRDefault="00B943B4" w:rsidP="00B943B4">
      <w:pPr>
        <w:pStyle w:val="ListBullet0"/>
        <w:rPr>
          <w:noProof/>
        </w:rPr>
      </w:pPr>
      <w:r>
        <w:rPr>
          <w:noProof/>
        </w:rPr>
        <w:t>investigate phenomena</w:t>
      </w:r>
    </w:p>
    <w:p w:rsidR="00B943B4" w:rsidRDefault="00B943B4" w:rsidP="00B943B4">
      <w:pPr>
        <w:pStyle w:val="ListBullet0"/>
        <w:spacing w:before="120"/>
        <w:rPr>
          <w:noProof/>
        </w:rPr>
      </w:pPr>
      <w:r>
        <w:rPr>
          <w:noProof/>
        </w:rPr>
        <w:t>evaluate processes, claims and conclusions</w:t>
      </w:r>
    </w:p>
    <w:p w:rsidR="00B943B4" w:rsidRDefault="00B943B4" w:rsidP="00B943B4">
      <w:pPr>
        <w:pStyle w:val="ListBullet0"/>
        <w:rPr>
          <w:noProof/>
        </w:rPr>
        <w:sectPr w:rsidR="00B943B4" w:rsidSect="00500900">
          <w:type w:val="continuous"/>
          <w:pgSz w:w="11907" w:h="16840" w:code="9"/>
          <w:pgMar w:top="1134" w:right="1418" w:bottom="1701" w:left="1418" w:header="567" w:footer="284" w:gutter="0"/>
          <w:cols w:num="2" w:space="720"/>
          <w:formProt w:val="0"/>
          <w:noEndnote/>
          <w:docGrid w:linePitch="299"/>
        </w:sectPr>
      </w:pPr>
      <w:r>
        <w:rPr>
          <w:noProof/>
        </w:rPr>
        <w:t>communicate understandings, findings, arguments and conclusions.</w:t>
      </w:r>
    </w:p>
    <w:p w:rsidR="00FA0D74" w:rsidRPr="00FA0D74" w:rsidRDefault="00FA0D74" w:rsidP="00FA0D74"/>
    <w:p w:rsidR="00B943B4" w:rsidRDefault="00B943B4" w:rsidP="00B943B4">
      <w:pPr>
        <w:pStyle w:val="Heading3"/>
      </w:pPr>
      <w:bookmarkStart w:id="268" w:name="_Toc16163627"/>
      <w:r>
        <w:t>Structure</w:t>
      </w:r>
      <w:bookmarkEnd w:id="268"/>
    </w:p>
    <w:tbl>
      <w:tblPr>
        <w:tblStyle w:val="QCAAtablestyle1"/>
        <w:tblW w:w="4900" w:type="pct"/>
        <w:tblLook w:val="04A0" w:firstRow="1" w:lastRow="0" w:firstColumn="1" w:lastColumn="0" w:noHBand="0" w:noVBand="1"/>
      </w:tblPr>
      <w:tblGrid>
        <w:gridCol w:w="2219"/>
        <w:gridCol w:w="2220"/>
        <w:gridCol w:w="2220"/>
        <w:gridCol w:w="2221"/>
      </w:tblGrid>
      <w:tr w:rsidR="00B943B4" w:rsidTr="00B943B4">
        <w:trPr>
          <w:cnfStyle w:val="100000000000" w:firstRow="1" w:lastRow="0" w:firstColumn="0" w:lastColumn="0" w:oddVBand="0" w:evenVBand="0" w:oddHBand="0" w:evenHBand="0" w:firstRowFirstColumn="0" w:firstRowLastColumn="0" w:lastRowFirstColumn="0" w:lastRowLastColumn="0"/>
        </w:trPr>
        <w:tc>
          <w:tcPr>
            <w:tcW w:w="2219" w:type="dxa"/>
          </w:tcPr>
          <w:p w:rsidR="00B943B4" w:rsidRPr="001E6001" w:rsidRDefault="00B943B4" w:rsidP="00B943B4">
            <w:pPr>
              <w:pStyle w:val="Tableheading"/>
            </w:pPr>
            <w:r w:rsidRPr="001E6001">
              <w:t>Unit 1</w:t>
            </w:r>
          </w:p>
        </w:tc>
        <w:tc>
          <w:tcPr>
            <w:tcW w:w="2220" w:type="dxa"/>
          </w:tcPr>
          <w:p w:rsidR="00B943B4" w:rsidRPr="001E6001" w:rsidRDefault="00B943B4" w:rsidP="00B943B4">
            <w:pPr>
              <w:pStyle w:val="Tableheading"/>
            </w:pPr>
            <w:r w:rsidRPr="001E6001">
              <w:t>Unit 2</w:t>
            </w:r>
          </w:p>
        </w:tc>
        <w:tc>
          <w:tcPr>
            <w:tcW w:w="2220" w:type="dxa"/>
          </w:tcPr>
          <w:p w:rsidR="00B943B4" w:rsidRPr="001E6001" w:rsidRDefault="00B943B4" w:rsidP="00B943B4">
            <w:pPr>
              <w:pStyle w:val="Tableheading"/>
            </w:pPr>
            <w:r w:rsidRPr="001E6001">
              <w:t>Unit 3</w:t>
            </w:r>
          </w:p>
        </w:tc>
        <w:tc>
          <w:tcPr>
            <w:tcW w:w="2221" w:type="dxa"/>
          </w:tcPr>
          <w:p w:rsidR="00B943B4" w:rsidRPr="001E6001" w:rsidRDefault="00B943B4" w:rsidP="00B943B4">
            <w:pPr>
              <w:pStyle w:val="Tableheading"/>
            </w:pPr>
            <w:r w:rsidRPr="001E6001">
              <w:t>Unit 4</w:t>
            </w:r>
          </w:p>
        </w:tc>
      </w:tr>
      <w:tr w:rsidR="00B943B4" w:rsidTr="00B943B4">
        <w:tc>
          <w:tcPr>
            <w:tcW w:w="2219" w:type="dxa"/>
          </w:tcPr>
          <w:p w:rsidR="00B943B4" w:rsidRPr="00AF5888" w:rsidRDefault="00B943B4" w:rsidP="00B943B4">
            <w:pPr>
              <w:pStyle w:val="TableText0"/>
              <w:rPr>
                <w:b/>
              </w:rPr>
            </w:pPr>
            <w:r w:rsidRPr="00AF5888">
              <w:rPr>
                <w:b/>
              </w:rPr>
              <w:t>Oceanography</w:t>
            </w:r>
          </w:p>
          <w:p w:rsidR="00B943B4" w:rsidRDefault="00B943B4" w:rsidP="00B943B4">
            <w:pPr>
              <w:pStyle w:val="TableBullet"/>
              <w:numPr>
                <w:ilvl w:val="0"/>
                <w:numId w:val="24"/>
              </w:numPr>
            </w:pPr>
            <w:r>
              <w:t>An ocean planet</w:t>
            </w:r>
          </w:p>
          <w:p w:rsidR="00B943B4" w:rsidRDefault="00B943B4" w:rsidP="00B943B4">
            <w:pPr>
              <w:pStyle w:val="TableBullet"/>
              <w:numPr>
                <w:ilvl w:val="0"/>
                <w:numId w:val="24"/>
              </w:numPr>
            </w:pPr>
            <w:r>
              <w:t>The dynamic shore</w:t>
            </w:r>
          </w:p>
        </w:tc>
        <w:tc>
          <w:tcPr>
            <w:tcW w:w="2220" w:type="dxa"/>
          </w:tcPr>
          <w:p w:rsidR="00B943B4" w:rsidRPr="00AF5888" w:rsidRDefault="00B943B4" w:rsidP="00B943B4">
            <w:pPr>
              <w:pStyle w:val="TableText0"/>
              <w:rPr>
                <w:b/>
              </w:rPr>
            </w:pPr>
            <w:r w:rsidRPr="00AF5888">
              <w:rPr>
                <w:b/>
              </w:rPr>
              <w:t>Marine biology</w:t>
            </w:r>
          </w:p>
          <w:p w:rsidR="00B943B4" w:rsidRDefault="00B943B4" w:rsidP="00B943B4">
            <w:pPr>
              <w:pStyle w:val="TableBullet"/>
              <w:numPr>
                <w:ilvl w:val="0"/>
                <w:numId w:val="24"/>
              </w:numPr>
            </w:pPr>
            <w:r>
              <w:t>Marine ecology and biodiversity</w:t>
            </w:r>
          </w:p>
          <w:p w:rsidR="00B943B4" w:rsidRDefault="00B943B4" w:rsidP="00B943B4">
            <w:pPr>
              <w:pStyle w:val="TableBullet"/>
              <w:numPr>
                <w:ilvl w:val="0"/>
                <w:numId w:val="24"/>
              </w:numPr>
            </w:pPr>
            <w:r>
              <w:t>Marine environmental management</w:t>
            </w:r>
          </w:p>
        </w:tc>
        <w:tc>
          <w:tcPr>
            <w:tcW w:w="2220" w:type="dxa"/>
            <w:shd w:val="clear" w:color="auto" w:fill="auto"/>
          </w:tcPr>
          <w:p w:rsidR="00B943B4" w:rsidRPr="00AF5888" w:rsidRDefault="00B943B4" w:rsidP="00B943B4">
            <w:pPr>
              <w:pStyle w:val="TableText0"/>
              <w:rPr>
                <w:b/>
              </w:rPr>
            </w:pPr>
            <w:r w:rsidRPr="00AF5888">
              <w:rPr>
                <w:b/>
              </w:rPr>
              <w:t>Marine systems — connections and change</w:t>
            </w:r>
          </w:p>
          <w:p w:rsidR="00B943B4" w:rsidRDefault="00B943B4" w:rsidP="00B943B4">
            <w:pPr>
              <w:pStyle w:val="TableBullet"/>
              <w:numPr>
                <w:ilvl w:val="0"/>
                <w:numId w:val="24"/>
              </w:numPr>
            </w:pPr>
            <w:r>
              <w:t>The reef and beyond</w:t>
            </w:r>
          </w:p>
          <w:p w:rsidR="00B943B4" w:rsidRDefault="00B943B4" w:rsidP="00B943B4">
            <w:pPr>
              <w:pStyle w:val="TableBullet"/>
              <w:numPr>
                <w:ilvl w:val="0"/>
                <w:numId w:val="24"/>
              </w:numPr>
            </w:pPr>
            <w:r>
              <w:t>Changes on the reef</w:t>
            </w:r>
          </w:p>
        </w:tc>
        <w:tc>
          <w:tcPr>
            <w:tcW w:w="2221" w:type="dxa"/>
            <w:shd w:val="clear" w:color="auto" w:fill="auto"/>
          </w:tcPr>
          <w:p w:rsidR="00B943B4" w:rsidRPr="00AF5888" w:rsidRDefault="00B943B4" w:rsidP="00B943B4">
            <w:pPr>
              <w:pStyle w:val="TableText0"/>
              <w:rPr>
                <w:b/>
              </w:rPr>
            </w:pPr>
            <w:r w:rsidRPr="00AF5888">
              <w:rPr>
                <w:b/>
              </w:rPr>
              <w:t>Ocean issues and resource management</w:t>
            </w:r>
          </w:p>
          <w:p w:rsidR="00B943B4" w:rsidRDefault="00B943B4" w:rsidP="00B943B4">
            <w:pPr>
              <w:pStyle w:val="TableBullet"/>
              <w:numPr>
                <w:ilvl w:val="0"/>
                <w:numId w:val="24"/>
              </w:numPr>
            </w:pPr>
            <w:r>
              <w:t>Oceans of the future</w:t>
            </w:r>
          </w:p>
          <w:p w:rsidR="00B943B4" w:rsidRDefault="00B943B4" w:rsidP="00B943B4">
            <w:pPr>
              <w:pStyle w:val="TableBullet"/>
              <w:numPr>
                <w:ilvl w:val="0"/>
                <w:numId w:val="24"/>
              </w:numPr>
            </w:pPr>
            <w:r>
              <w:t>Managing fisheries</w:t>
            </w:r>
          </w:p>
        </w:tc>
      </w:tr>
    </w:tbl>
    <w:p w:rsidR="00B943B4" w:rsidRPr="00243FCB" w:rsidRDefault="00B943B4" w:rsidP="00243FCB"/>
    <w:p w:rsidR="00B943B4" w:rsidRDefault="00B943B4" w:rsidP="00B943B4">
      <w:pPr>
        <w:rPr>
          <w:b/>
          <w:color w:val="6D6F71"/>
          <w:sz w:val="28"/>
          <w:szCs w:val="28"/>
        </w:rPr>
      </w:pPr>
      <w:r>
        <w:br w:type="page"/>
      </w:r>
    </w:p>
    <w:p w:rsidR="00B943B4" w:rsidRDefault="00B943B4" w:rsidP="00B943B4">
      <w:pPr>
        <w:pStyle w:val="Heading3"/>
      </w:pPr>
      <w:bookmarkStart w:id="269" w:name="_Toc16163628"/>
      <w:bookmarkStart w:id="270" w:name="_Hlk493070178"/>
      <w:r>
        <w:t>Assessment</w:t>
      </w:r>
      <w:bookmarkEnd w:id="269"/>
    </w:p>
    <w:p w:rsidR="00316849" w:rsidRDefault="00316849" w:rsidP="00316849">
      <w:pPr>
        <w:pStyle w:val="BodyText"/>
      </w:pPr>
      <w:r>
        <w:t>S</w:t>
      </w:r>
      <w:r w:rsidRPr="008C3C06">
        <w:t>chools devise assessment</w:t>
      </w:r>
      <w:r>
        <w:t>s</w:t>
      </w:r>
      <w:r w:rsidRPr="008C3C06">
        <w:t xml:space="preserve"> </w:t>
      </w:r>
      <w:r>
        <w:t>i</w:t>
      </w:r>
      <w:r w:rsidRPr="008C3C06">
        <w:t>n Units 1 and 2 to suit their local context.</w:t>
      </w:r>
      <w:r>
        <w:t xml:space="preserve"> </w:t>
      </w:r>
    </w:p>
    <w:p w:rsidR="00316849" w:rsidRDefault="00316849" w:rsidP="00316849">
      <w:pPr>
        <w:pStyle w:val="BodyText"/>
      </w:pPr>
      <w:r>
        <w:t>I</w:t>
      </w:r>
      <w:r w:rsidRPr="008C3C06">
        <w:t xml:space="preserve">n Units 3 and 4 </w:t>
      </w:r>
      <w:r>
        <w:t>s</w:t>
      </w:r>
      <w:r w:rsidRPr="008C3C06">
        <w:t>tudents complete four summative assessments</w:t>
      </w:r>
      <w:r>
        <w:t>. The results from each of the assessments are added together to provi</w:t>
      </w:r>
      <w:r w:rsidR="00284AA4">
        <w:t xml:space="preserve">de a subject score out of 100. </w:t>
      </w:r>
      <w:r>
        <w:t>Students will also receive an overall subject result (A–E).</w:t>
      </w:r>
    </w:p>
    <w:p w:rsidR="00DE76ED" w:rsidRDefault="00DE76ED" w:rsidP="005827C4">
      <w:pPr>
        <w:pStyle w:val="Caption"/>
        <w:rPr>
          <w:noProof/>
        </w:rPr>
      </w:pPr>
      <w:r>
        <w:t>Summative assessments</w:t>
      </w:r>
    </w:p>
    <w:tbl>
      <w:tblPr>
        <w:tblStyle w:val="QCAAtablestyle1"/>
        <w:tblW w:w="4900" w:type="pct"/>
        <w:tblLayout w:type="fixed"/>
        <w:tblLook w:val="04A0" w:firstRow="1" w:lastRow="0" w:firstColumn="1" w:lastColumn="0" w:noHBand="0" w:noVBand="1"/>
      </w:tblPr>
      <w:tblGrid>
        <w:gridCol w:w="3743"/>
        <w:gridCol w:w="697"/>
        <w:gridCol w:w="3743"/>
        <w:gridCol w:w="697"/>
      </w:tblGrid>
      <w:tr w:rsidR="002616D1" w:rsidTr="00996441">
        <w:trPr>
          <w:cnfStyle w:val="100000000000" w:firstRow="1" w:lastRow="0" w:firstColumn="0" w:lastColumn="0" w:oddVBand="0" w:evenVBand="0" w:oddHBand="0" w:evenHBand="0" w:firstRowFirstColumn="0" w:firstRowLastColumn="0" w:lastRowFirstColumn="0" w:lastRowLastColumn="0"/>
        </w:trPr>
        <w:tc>
          <w:tcPr>
            <w:tcW w:w="4536" w:type="dxa"/>
            <w:gridSpan w:val="2"/>
          </w:tcPr>
          <w:p w:rsidR="002616D1" w:rsidRPr="003A03E9" w:rsidRDefault="002616D1" w:rsidP="00B943B4">
            <w:pPr>
              <w:pStyle w:val="Tableheading"/>
            </w:pPr>
            <w:r w:rsidRPr="003A03E9">
              <w:t>Unit 3</w:t>
            </w:r>
          </w:p>
        </w:tc>
        <w:tc>
          <w:tcPr>
            <w:tcW w:w="4536" w:type="dxa"/>
            <w:gridSpan w:val="2"/>
          </w:tcPr>
          <w:p w:rsidR="002616D1" w:rsidRPr="003A03E9" w:rsidRDefault="002616D1" w:rsidP="00B943B4">
            <w:pPr>
              <w:pStyle w:val="Tableheading"/>
            </w:pPr>
            <w:r w:rsidRPr="003A03E9">
              <w:t>Unit 4</w:t>
            </w:r>
          </w:p>
        </w:tc>
      </w:tr>
      <w:tr w:rsidR="002616D1" w:rsidTr="00996441">
        <w:tc>
          <w:tcPr>
            <w:tcW w:w="3828" w:type="dxa"/>
          </w:tcPr>
          <w:p w:rsidR="002616D1" w:rsidRDefault="002616D1" w:rsidP="00B943B4">
            <w:pPr>
              <w:pStyle w:val="Tabletext"/>
            </w:pPr>
            <w:r>
              <w:t xml:space="preserve">Summative internal assessment 1 (IA1): </w:t>
            </w:r>
          </w:p>
          <w:p w:rsidR="002616D1" w:rsidRDefault="002616D1" w:rsidP="00B943B4">
            <w:pPr>
              <w:pStyle w:val="TableBullet"/>
              <w:numPr>
                <w:ilvl w:val="0"/>
                <w:numId w:val="24"/>
              </w:numPr>
            </w:pPr>
            <w:r>
              <w:t>Data test</w:t>
            </w:r>
          </w:p>
        </w:tc>
        <w:tc>
          <w:tcPr>
            <w:tcW w:w="708" w:type="dxa"/>
          </w:tcPr>
          <w:p w:rsidR="002616D1" w:rsidRDefault="002616D1" w:rsidP="00B943B4">
            <w:pPr>
              <w:pStyle w:val="Tabletext"/>
            </w:pPr>
            <w:r>
              <w:t>10%</w:t>
            </w:r>
          </w:p>
        </w:tc>
        <w:tc>
          <w:tcPr>
            <w:tcW w:w="3828" w:type="dxa"/>
            <w:vMerge w:val="restart"/>
          </w:tcPr>
          <w:p w:rsidR="002616D1" w:rsidRDefault="002616D1" w:rsidP="00B943B4">
            <w:pPr>
              <w:pStyle w:val="Tabletext"/>
            </w:pPr>
            <w:r>
              <w:t xml:space="preserve">Summative internal assessment 3 (IA3): </w:t>
            </w:r>
          </w:p>
          <w:p w:rsidR="002616D1" w:rsidRDefault="002616D1" w:rsidP="00B943B4">
            <w:pPr>
              <w:pStyle w:val="TableBullet"/>
              <w:numPr>
                <w:ilvl w:val="0"/>
                <w:numId w:val="24"/>
              </w:numPr>
            </w:pPr>
            <w:r>
              <w:t>Research investigation</w:t>
            </w:r>
          </w:p>
        </w:tc>
        <w:tc>
          <w:tcPr>
            <w:tcW w:w="708" w:type="dxa"/>
            <w:vMerge w:val="restart"/>
          </w:tcPr>
          <w:p w:rsidR="002616D1" w:rsidRDefault="002616D1" w:rsidP="00B943B4">
            <w:pPr>
              <w:pStyle w:val="Tabletext"/>
            </w:pPr>
            <w:r>
              <w:t>20%</w:t>
            </w:r>
          </w:p>
          <w:p w:rsidR="002616D1" w:rsidRDefault="002616D1" w:rsidP="00B943B4">
            <w:pPr>
              <w:pStyle w:val="Tabletext"/>
            </w:pPr>
          </w:p>
        </w:tc>
      </w:tr>
      <w:tr w:rsidR="002616D1" w:rsidTr="00996441">
        <w:tc>
          <w:tcPr>
            <w:tcW w:w="3828" w:type="dxa"/>
          </w:tcPr>
          <w:p w:rsidR="002616D1" w:rsidRDefault="002616D1" w:rsidP="00B943B4">
            <w:pPr>
              <w:pStyle w:val="Tabletext"/>
            </w:pPr>
            <w:r>
              <w:t>Summative internal assessment 2 (IA2</w:t>
            </w:r>
            <w:r w:rsidR="00284AA4">
              <w:t xml:space="preserve">): </w:t>
            </w:r>
          </w:p>
          <w:p w:rsidR="002616D1" w:rsidRDefault="002616D1" w:rsidP="00B943B4">
            <w:pPr>
              <w:pStyle w:val="TableBullet"/>
              <w:numPr>
                <w:ilvl w:val="0"/>
                <w:numId w:val="24"/>
              </w:numPr>
            </w:pPr>
            <w:r>
              <w:t xml:space="preserve">Student experiment </w:t>
            </w:r>
          </w:p>
        </w:tc>
        <w:tc>
          <w:tcPr>
            <w:tcW w:w="708" w:type="dxa"/>
          </w:tcPr>
          <w:p w:rsidR="002616D1" w:rsidRDefault="002616D1" w:rsidP="00B943B4">
            <w:pPr>
              <w:pStyle w:val="Tabletext"/>
            </w:pPr>
            <w:r>
              <w:t>20%</w:t>
            </w:r>
          </w:p>
        </w:tc>
        <w:tc>
          <w:tcPr>
            <w:tcW w:w="3828" w:type="dxa"/>
            <w:vMerge/>
          </w:tcPr>
          <w:p w:rsidR="002616D1" w:rsidRDefault="002616D1" w:rsidP="00B943B4">
            <w:pPr>
              <w:pStyle w:val="TableBullet"/>
              <w:numPr>
                <w:ilvl w:val="0"/>
                <w:numId w:val="24"/>
              </w:numPr>
            </w:pPr>
          </w:p>
        </w:tc>
        <w:tc>
          <w:tcPr>
            <w:tcW w:w="708" w:type="dxa"/>
            <w:vMerge/>
          </w:tcPr>
          <w:p w:rsidR="002616D1" w:rsidRDefault="002616D1" w:rsidP="00B943B4">
            <w:pPr>
              <w:pStyle w:val="Tabletext"/>
            </w:pPr>
          </w:p>
        </w:tc>
      </w:tr>
      <w:tr w:rsidR="00341E42" w:rsidTr="00BE180B">
        <w:tc>
          <w:tcPr>
            <w:tcW w:w="9072" w:type="dxa"/>
            <w:gridSpan w:val="4"/>
          </w:tcPr>
          <w:p w:rsidR="00341E42" w:rsidRDefault="00341E42" w:rsidP="00BE180B">
            <w:pPr>
              <w:pStyle w:val="TableBullet"/>
              <w:numPr>
                <w:ilvl w:val="0"/>
                <w:numId w:val="0"/>
              </w:numPr>
              <w:ind w:left="170" w:hanging="170"/>
              <w:jc w:val="center"/>
            </w:pPr>
            <w:r>
              <w:t>Summative external assessment (EA): 50%</w:t>
            </w:r>
          </w:p>
          <w:p w:rsidR="00341E42" w:rsidRDefault="00341E42" w:rsidP="00BE180B">
            <w:pPr>
              <w:pStyle w:val="TableBullet"/>
              <w:jc w:val="center"/>
            </w:pPr>
            <w:r>
              <w:t>Examination</w:t>
            </w:r>
          </w:p>
        </w:tc>
      </w:tr>
    </w:tbl>
    <w:p w:rsidR="00B943B4" w:rsidRDefault="00B943B4" w:rsidP="00B943B4"/>
    <w:bookmarkEnd w:id="270"/>
    <w:p w:rsidR="005B299D" w:rsidRDefault="005B299D" w:rsidP="005B299D">
      <w:r>
        <w:br w:type="page"/>
      </w:r>
    </w:p>
    <w:tbl>
      <w:tblPr>
        <w:tblStyle w:val="TextLayout"/>
        <w:tblW w:w="5650" w:type="pct"/>
        <w:tblInd w:w="-170" w:type="dxa"/>
        <w:tblLayout w:type="fixed"/>
        <w:tblLook w:val="04A0" w:firstRow="1" w:lastRow="0" w:firstColumn="1" w:lastColumn="0" w:noHBand="0" w:noVBand="1"/>
      </w:tblPr>
      <w:tblGrid>
        <w:gridCol w:w="141"/>
        <w:gridCol w:w="9264"/>
        <w:gridCol w:w="845"/>
      </w:tblGrid>
      <w:tr w:rsidR="00840BAD" w:rsidRPr="003B6F39" w:rsidTr="00B943B4">
        <w:trPr>
          <w:trHeight w:hRule="exact" w:val="851"/>
        </w:trPr>
        <w:tc>
          <w:tcPr>
            <w:tcW w:w="141" w:type="dxa"/>
            <w:shd w:val="clear" w:color="auto" w:fill="84BD00"/>
          </w:tcPr>
          <w:p w:rsidR="00840BAD" w:rsidRDefault="00840BAD" w:rsidP="002037BC">
            <w:pPr>
              <w:pStyle w:val="Tabletext"/>
            </w:pPr>
          </w:p>
        </w:tc>
        <w:tc>
          <w:tcPr>
            <w:tcW w:w="9264" w:type="dxa"/>
            <w:tcMar>
              <w:left w:w="57" w:type="dxa"/>
            </w:tcMar>
            <w:vAlign w:val="center"/>
          </w:tcPr>
          <w:p w:rsidR="00840BAD" w:rsidRDefault="00840BAD" w:rsidP="00F601D0">
            <w:pPr>
              <w:pStyle w:val="SubjectHeading"/>
            </w:pPr>
            <w:r>
              <w:t>Physics</w:t>
            </w:r>
          </w:p>
          <w:p w:rsidR="00840BAD" w:rsidRPr="00E86C01" w:rsidRDefault="00840BAD" w:rsidP="002037BC">
            <w:pPr>
              <w:pStyle w:val="Heading3"/>
              <w:spacing w:before="0" w:after="0"/>
            </w:pPr>
            <w:bookmarkStart w:id="271" w:name="_Toc16163629"/>
            <w:r>
              <w:t>General senior subject</w:t>
            </w:r>
            <w:bookmarkEnd w:id="271"/>
          </w:p>
        </w:tc>
        <w:tc>
          <w:tcPr>
            <w:tcW w:w="845" w:type="dxa"/>
            <w:shd w:val="clear" w:color="auto" w:fill="84BD00"/>
            <w:tcMar>
              <w:bottom w:w="28" w:type="dxa"/>
              <w:right w:w="57" w:type="dxa"/>
            </w:tcMar>
            <w:vAlign w:val="bottom"/>
          </w:tcPr>
          <w:p w:rsidR="00840BAD" w:rsidRPr="00C423A4" w:rsidRDefault="00840BAD" w:rsidP="002037BC">
            <w:pPr>
              <w:pStyle w:val="Heading3"/>
              <w:spacing w:before="0" w:after="100" w:afterAutospacing="1"/>
              <w:jc w:val="right"/>
              <w:rPr>
                <w:color w:val="auto"/>
                <w:sz w:val="17"/>
                <w:szCs w:val="17"/>
              </w:rPr>
            </w:pPr>
            <w:bookmarkStart w:id="272" w:name="_Toc16163630"/>
            <w:r w:rsidRPr="00C423A4">
              <w:rPr>
                <w:color w:val="auto"/>
                <w:sz w:val="17"/>
                <w:szCs w:val="17"/>
              </w:rPr>
              <w:t>General</w:t>
            </w:r>
            <w:bookmarkEnd w:id="272"/>
          </w:p>
        </w:tc>
      </w:tr>
      <w:tr w:rsidR="004D730A" w:rsidRPr="003B6F39" w:rsidTr="00B943B4">
        <w:trPr>
          <w:trHeight w:hRule="exact" w:val="113"/>
        </w:trPr>
        <w:tc>
          <w:tcPr>
            <w:tcW w:w="10250" w:type="dxa"/>
            <w:gridSpan w:val="3"/>
            <w:shd w:val="clear" w:color="auto" w:fill="auto"/>
          </w:tcPr>
          <w:p w:rsidR="004D730A" w:rsidRPr="00C423A4" w:rsidRDefault="004D730A" w:rsidP="00CE28F7">
            <w:pPr>
              <w:pStyle w:val="Heading3"/>
              <w:spacing w:before="0" w:after="100" w:afterAutospacing="1"/>
              <w:rPr>
                <w:color w:val="auto"/>
                <w:sz w:val="17"/>
                <w:szCs w:val="17"/>
              </w:rPr>
            </w:pPr>
          </w:p>
        </w:tc>
      </w:tr>
    </w:tbl>
    <w:p w:rsidR="00B943B4" w:rsidRDefault="00B943B4" w:rsidP="00B943B4">
      <w:pPr>
        <w:pStyle w:val="BodyText"/>
        <w:spacing w:before="120"/>
      </w:pPr>
    </w:p>
    <w:p w:rsidR="00B943B4" w:rsidRDefault="00B943B4" w:rsidP="00B943B4">
      <w:pPr>
        <w:pStyle w:val="BodyText"/>
        <w:spacing w:before="120"/>
        <w:sectPr w:rsidR="00B943B4" w:rsidSect="00500900">
          <w:type w:val="continuous"/>
          <w:pgSz w:w="11907" w:h="16840" w:code="9"/>
          <w:pgMar w:top="1134" w:right="1418" w:bottom="1701" w:left="1418" w:header="567" w:footer="284" w:gutter="0"/>
          <w:cols w:space="720"/>
          <w:formProt w:val="0"/>
          <w:noEndnote/>
          <w:docGrid w:linePitch="299"/>
        </w:sectPr>
      </w:pPr>
    </w:p>
    <w:p w:rsidR="00B943B4" w:rsidRDefault="00B943B4" w:rsidP="00B943B4">
      <w:pPr>
        <w:pStyle w:val="BodyText"/>
        <w:spacing w:before="120"/>
      </w:pPr>
      <w:r w:rsidRPr="006052EF">
        <w:t xml:space="preserve">Physics provides opportunities for students to engage with classical and modern understandings of the universe. </w:t>
      </w:r>
    </w:p>
    <w:p w:rsidR="00B943B4" w:rsidRDefault="00B943B4" w:rsidP="00B943B4">
      <w:pPr>
        <w:pStyle w:val="BodyText"/>
        <w:spacing w:before="120"/>
      </w:pPr>
      <w:r>
        <w:t>S</w:t>
      </w:r>
      <w:r w:rsidRPr="006052EF">
        <w:t>tudents learn about the fundamental concepts of thermodynamics, electricity and nuclear processes</w:t>
      </w:r>
      <w:r w:rsidR="00BE180B">
        <w:t>; and</w:t>
      </w:r>
      <w:r w:rsidRPr="006052EF">
        <w:t xml:space="preserve"> about the concepts and theories that predict and describe the linear motion of objects. Further, they</w:t>
      </w:r>
      <w:r>
        <w:t xml:space="preserve"> </w:t>
      </w:r>
      <w:r w:rsidRPr="006052EF">
        <w:t xml:space="preserve">explore how scientists explain some phenomena using an understanding of waves. </w:t>
      </w:r>
      <w:r>
        <w:t xml:space="preserve">They </w:t>
      </w:r>
      <w:r w:rsidRPr="006052EF">
        <w:t xml:space="preserve">engage with the concept of gravitational and electromagnetic fields, and the relevant forces associated with them. </w:t>
      </w:r>
      <w:r>
        <w:t>They stud</w:t>
      </w:r>
      <w:r w:rsidRPr="006052EF">
        <w:t>y modern physics theories and models that, despite being counterintuitive, are fundamental to our understanding of many common observable phenomena.</w:t>
      </w:r>
    </w:p>
    <w:p w:rsidR="00BE180B" w:rsidRDefault="00BE180B" w:rsidP="00341E42">
      <w:pPr>
        <w:pStyle w:val="BodyText"/>
        <w:spacing w:before="120"/>
      </w:pPr>
      <w:r>
        <w:t>Students develop appreciation of the contribution physics makes to society: understanding that diverse natural phenomena may be explained, analysed and predicted using concepts, models and theories that provide a reliable basis for action; and that natter and energy interact in physical systems across a range of scales. They understand how models and theories are refined, and new ones developed in physics; investigate phenomena and solve problems; collect and analyse data; and interpret evidence. Students use accurate and precise measurement, valid and reliable evidence, and scepticism and intellectual rigour to evaluate claims; and communicate physics understanding, findings, arguments and conclusions using appropriate representations, modes and genres.</w:t>
      </w:r>
    </w:p>
    <w:p w:rsidR="00341E42" w:rsidRDefault="00341E42" w:rsidP="00341E42">
      <w:pPr>
        <w:pStyle w:val="BodyText"/>
        <w:spacing w:before="120"/>
      </w:pPr>
      <w:r w:rsidRPr="00EF4959">
        <w:t>Students learn and apply aspects of the knowledge and skills of the discipline (thinking, experimentation, problem-solving and research skills), understand how it works and how it may impact society.</w:t>
      </w:r>
    </w:p>
    <w:p w:rsidR="00B943B4" w:rsidRDefault="00B943B4" w:rsidP="00B943B4">
      <w:pPr>
        <w:pStyle w:val="Heading3"/>
      </w:pPr>
      <w:bookmarkStart w:id="273" w:name="_Toc16163631"/>
      <w:r>
        <w:t>Pathways</w:t>
      </w:r>
      <w:bookmarkEnd w:id="273"/>
    </w:p>
    <w:p w:rsidR="00B943B4" w:rsidRDefault="00B943B4" w:rsidP="00B943B4">
      <w:pPr>
        <w:pStyle w:val="BodyText"/>
      </w:pPr>
      <w:r w:rsidRPr="006052EF">
        <w:t>A course of study in Physics can establish a basis for further education and employment in the fields of science, engineering, medicine and technology.</w:t>
      </w:r>
    </w:p>
    <w:p w:rsidR="00B943B4" w:rsidRDefault="00B943B4" w:rsidP="00B943B4">
      <w:pPr>
        <w:pStyle w:val="Heading3"/>
      </w:pPr>
      <w:bookmarkStart w:id="274" w:name="_Toc16163632"/>
      <w:r>
        <w:t>Objectives</w:t>
      </w:r>
      <w:bookmarkEnd w:id="274"/>
    </w:p>
    <w:p w:rsidR="00B943B4" w:rsidRDefault="00B943B4" w:rsidP="00B943B4">
      <w:pPr>
        <w:pStyle w:val="Bodytextlead-in"/>
      </w:pPr>
      <w:r>
        <w:t>By the conclusion of the course of study, students will:</w:t>
      </w:r>
    </w:p>
    <w:p w:rsidR="00B943B4" w:rsidRDefault="00B943B4" w:rsidP="00B943B4">
      <w:pPr>
        <w:pStyle w:val="ListBullet0"/>
      </w:pPr>
      <w:r>
        <w:t>describe and explain scientific concepts, theories, models and systems and their limitations</w:t>
      </w:r>
    </w:p>
    <w:p w:rsidR="00B943B4" w:rsidRDefault="00B943B4" w:rsidP="00B943B4">
      <w:pPr>
        <w:pStyle w:val="ListBullet0"/>
      </w:pPr>
      <w:r>
        <w:t>apply understanding of scientific concepts, theories, models and systems within their limitations</w:t>
      </w:r>
    </w:p>
    <w:p w:rsidR="00B943B4" w:rsidRDefault="00B943B4" w:rsidP="00B943B4">
      <w:pPr>
        <w:pStyle w:val="ListBullet0"/>
      </w:pPr>
      <w:r>
        <w:t>analyse evidence</w:t>
      </w:r>
    </w:p>
    <w:p w:rsidR="00B943B4" w:rsidRDefault="00B943B4" w:rsidP="00B943B4">
      <w:pPr>
        <w:pStyle w:val="ListBullet0"/>
      </w:pPr>
      <w:r>
        <w:t>interpret evidence</w:t>
      </w:r>
    </w:p>
    <w:p w:rsidR="00B943B4" w:rsidRDefault="00B943B4" w:rsidP="00B943B4">
      <w:pPr>
        <w:pStyle w:val="ListBullet0"/>
      </w:pPr>
      <w:r>
        <w:t>investigate phenomena</w:t>
      </w:r>
    </w:p>
    <w:p w:rsidR="00341E42" w:rsidRDefault="00B943B4" w:rsidP="00B943B4">
      <w:pPr>
        <w:pStyle w:val="ListBullet0"/>
      </w:pPr>
      <w:r>
        <w:t>evaluate processes, claims and conclusions</w:t>
      </w:r>
    </w:p>
    <w:p w:rsidR="00B943B4" w:rsidRDefault="00341E42" w:rsidP="00B943B4">
      <w:pPr>
        <w:pStyle w:val="ListBullet0"/>
      </w:pPr>
      <w:r>
        <w:t>communicate understandings, findings, arguments and conclusions</w:t>
      </w:r>
      <w:r w:rsidR="00B943B4">
        <w:t>.</w:t>
      </w:r>
    </w:p>
    <w:p w:rsidR="00FA0D74" w:rsidRDefault="00FA0D74" w:rsidP="00FA0D74">
      <w:pPr>
        <w:pStyle w:val="ListBullet0"/>
        <w:numPr>
          <w:ilvl w:val="0"/>
          <w:numId w:val="0"/>
        </w:numPr>
        <w:ind w:left="284" w:hanging="284"/>
      </w:pPr>
    </w:p>
    <w:p w:rsidR="00FA0D74" w:rsidRDefault="00FA0D74" w:rsidP="00FA0D74">
      <w:pPr>
        <w:pStyle w:val="ListBullet0"/>
        <w:numPr>
          <w:ilvl w:val="0"/>
          <w:numId w:val="0"/>
        </w:numPr>
        <w:ind w:left="284" w:hanging="284"/>
        <w:sectPr w:rsidR="00FA0D74" w:rsidSect="00500900">
          <w:type w:val="continuous"/>
          <w:pgSz w:w="11907" w:h="16840" w:code="9"/>
          <w:pgMar w:top="1134" w:right="1418" w:bottom="1701" w:left="1418" w:header="567" w:footer="284" w:gutter="0"/>
          <w:cols w:num="2" w:space="720"/>
          <w:formProt w:val="0"/>
          <w:noEndnote/>
          <w:docGrid w:linePitch="299"/>
        </w:sectPr>
      </w:pPr>
    </w:p>
    <w:p w:rsidR="002F7819" w:rsidRDefault="002F7819">
      <w:pPr>
        <w:rPr>
          <w:b/>
          <w:color w:val="6D6F71"/>
          <w:sz w:val="28"/>
          <w:szCs w:val="28"/>
        </w:rPr>
      </w:pPr>
      <w:r>
        <w:br w:type="page"/>
      </w:r>
    </w:p>
    <w:p w:rsidR="00B943B4" w:rsidRDefault="00B943B4" w:rsidP="00B943B4">
      <w:pPr>
        <w:pStyle w:val="Heading3"/>
      </w:pPr>
      <w:bookmarkStart w:id="275" w:name="_Toc16163633"/>
      <w:r>
        <w:t>Structure</w:t>
      </w:r>
      <w:bookmarkEnd w:id="275"/>
    </w:p>
    <w:tbl>
      <w:tblPr>
        <w:tblStyle w:val="QCAAtablestyle1"/>
        <w:tblW w:w="4900" w:type="pct"/>
        <w:tblLook w:val="04A0" w:firstRow="1" w:lastRow="0" w:firstColumn="1" w:lastColumn="0" w:noHBand="0" w:noVBand="1"/>
      </w:tblPr>
      <w:tblGrid>
        <w:gridCol w:w="2214"/>
        <w:gridCol w:w="2196"/>
        <w:gridCol w:w="2253"/>
        <w:gridCol w:w="2217"/>
      </w:tblGrid>
      <w:tr w:rsidR="00B943B4" w:rsidTr="00B943B4">
        <w:trPr>
          <w:cnfStyle w:val="100000000000" w:firstRow="1" w:lastRow="0" w:firstColumn="0" w:lastColumn="0" w:oddVBand="0" w:evenVBand="0" w:oddHBand="0" w:evenHBand="0" w:firstRowFirstColumn="0" w:firstRowLastColumn="0" w:lastRowFirstColumn="0" w:lastRowLastColumn="0"/>
        </w:trPr>
        <w:tc>
          <w:tcPr>
            <w:tcW w:w="2214" w:type="dxa"/>
          </w:tcPr>
          <w:p w:rsidR="00B943B4" w:rsidRPr="009A2B10" w:rsidRDefault="00B943B4" w:rsidP="00B943B4">
            <w:pPr>
              <w:pStyle w:val="Tableheading"/>
            </w:pPr>
            <w:r w:rsidRPr="009A2B10">
              <w:t>Unit 1</w:t>
            </w:r>
          </w:p>
        </w:tc>
        <w:tc>
          <w:tcPr>
            <w:tcW w:w="2196" w:type="dxa"/>
          </w:tcPr>
          <w:p w:rsidR="00B943B4" w:rsidRPr="009A2B10" w:rsidRDefault="00B943B4" w:rsidP="00B943B4">
            <w:pPr>
              <w:pStyle w:val="Tableheading"/>
            </w:pPr>
            <w:r w:rsidRPr="009A2B10">
              <w:t>Unit 2</w:t>
            </w:r>
          </w:p>
        </w:tc>
        <w:tc>
          <w:tcPr>
            <w:tcW w:w="2253" w:type="dxa"/>
          </w:tcPr>
          <w:p w:rsidR="00B943B4" w:rsidRPr="009A2B10" w:rsidRDefault="00B943B4" w:rsidP="00B943B4">
            <w:pPr>
              <w:pStyle w:val="Tableheading"/>
            </w:pPr>
            <w:r w:rsidRPr="009A2B10">
              <w:t>Unit 3</w:t>
            </w:r>
          </w:p>
        </w:tc>
        <w:tc>
          <w:tcPr>
            <w:tcW w:w="2217" w:type="dxa"/>
          </w:tcPr>
          <w:p w:rsidR="00B943B4" w:rsidRPr="009A2B10" w:rsidRDefault="00B943B4" w:rsidP="00B943B4">
            <w:pPr>
              <w:pStyle w:val="Tableheading"/>
            </w:pPr>
            <w:r w:rsidRPr="009A2B10">
              <w:t>Unit 4</w:t>
            </w:r>
          </w:p>
        </w:tc>
      </w:tr>
      <w:tr w:rsidR="00B943B4" w:rsidTr="00B943B4">
        <w:tc>
          <w:tcPr>
            <w:tcW w:w="2214" w:type="dxa"/>
          </w:tcPr>
          <w:p w:rsidR="00B943B4" w:rsidRDefault="00B943B4" w:rsidP="00B943B4">
            <w:pPr>
              <w:pStyle w:val="Tablesubhead"/>
            </w:pPr>
            <w:r>
              <w:t>Thermal, nuclear and electrical physics</w:t>
            </w:r>
          </w:p>
          <w:p w:rsidR="00B943B4" w:rsidRDefault="00B943B4" w:rsidP="00B943B4">
            <w:pPr>
              <w:pStyle w:val="TableBullet"/>
              <w:numPr>
                <w:ilvl w:val="0"/>
                <w:numId w:val="24"/>
              </w:numPr>
            </w:pPr>
            <w:r>
              <w:t>Heating processes</w:t>
            </w:r>
          </w:p>
          <w:p w:rsidR="00B943B4" w:rsidRDefault="00B943B4" w:rsidP="00B943B4">
            <w:pPr>
              <w:pStyle w:val="TableBullet"/>
              <w:numPr>
                <w:ilvl w:val="0"/>
                <w:numId w:val="24"/>
              </w:numPr>
            </w:pPr>
            <w:r>
              <w:t>Ionising radiation and nuclear reactions</w:t>
            </w:r>
          </w:p>
          <w:p w:rsidR="00B943B4" w:rsidRDefault="00B943B4" w:rsidP="00B943B4">
            <w:pPr>
              <w:pStyle w:val="TableBullet"/>
              <w:numPr>
                <w:ilvl w:val="0"/>
                <w:numId w:val="24"/>
              </w:numPr>
            </w:pPr>
            <w:r>
              <w:t>Electrical circuits</w:t>
            </w:r>
          </w:p>
        </w:tc>
        <w:tc>
          <w:tcPr>
            <w:tcW w:w="2196" w:type="dxa"/>
          </w:tcPr>
          <w:p w:rsidR="00B943B4" w:rsidRDefault="00B943B4" w:rsidP="00B943B4">
            <w:pPr>
              <w:pStyle w:val="Tablesubhead"/>
            </w:pPr>
            <w:r>
              <w:t>Linear motion and waves</w:t>
            </w:r>
          </w:p>
          <w:p w:rsidR="00B943B4" w:rsidRDefault="00B943B4" w:rsidP="00B943B4">
            <w:pPr>
              <w:pStyle w:val="TableBullet"/>
              <w:numPr>
                <w:ilvl w:val="0"/>
                <w:numId w:val="24"/>
              </w:numPr>
            </w:pPr>
            <w:r>
              <w:t xml:space="preserve">Linear motion and force </w:t>
            </w:r>
          </w:p>
          <w:p w:rsidR="00B943B4" w:rsidRDefault="00B943B4" w:rsidP="00B943B4">
            <w:pPr>
              <w:pStyle w:val="TableBullet"/>
              <w:numPr>
                <w:ilvl w:val="0"/>
                <w:numId w:val="24"/>
              </w:numPr>
            </w:pPr>
            <w:r>
              <w:t>Waves</w:t>
            </w:r>
          </w:p>
        </w:tc>
        <w:tc>
          <w:tcPr>
            <w:tcW w:w="2253" w:type="dxa"/>
            <w:shd w:val="clear" w:color="auto" w:fill="auto"/>
          </w:tcPr>
          <w:p w:rsidR="00B943B4" w:rsidRDefault="00B943B4" w:rsidP="00B943B4">
            <w:pPr>
              <w:pStyle w:val="Tablesubhead"/>
            </w:pPr>
            <w:r>
              <w:t>Gravity and electromagnetism</w:t>
            </w:r>
          </w:p>
          <w:p w:rsidR="00B943B4" w:rsidRDefault="00B943B4" w:rsidP="00B943B4">
            <w:pPr>
              <w:pStyle w:val="TableBullet"/>
              <w:numPr>
                <w:ilvl w:val="0"/>
                <w:numId w:val="24"/>
              </w:numPr>
            </w:pPr>
            <w:r>
              <w:t>Gravity and motion</w:t>
            </w:r>
          </w:p>
          <w:p w:rsidR="00B943B4" w:rsidRDefault="00B943B4" w:rsidP="00B943B4">
            <w:pPr>
              <w:pStyle w:val="TableBullet"/>
              <w:numPr>
                <w:ilvl w:val="0"/>
                <w:numId w:val="24"/>
              </w:numPr>
            </w:pPr>
            <w:r>
              <w:t>Electromagnetism</w:t>
            </w:r>
          </w:p>
        </w:tc>
        <w:tc>
          <w:tcPr>
            <w:tcW w:w="2217" w:type="dxa"/>
            <w:shd w:val="clear" w:color="auto" w:fill="auto"/>
          </w:tcPr>
          <w:p w:rsidR="00B943B4" w:rsidRDefault="00B943B4" w:rsidP="00B943B4">
            <w:pPr>
              <w:pStyle w:val="Tablesubhead"/>
            </w:pPr>
            <w:r>
              <w:t>Revolutions in modern physics</w:t>
            </w:r>
          </w:p>
          <w:p w:rsidR="00B943B4" w:rsidRDefault="00B943B4" w:rsidP="00B943B4">
            <w:pPr>
              <w:pStyle w:val="TableBullet"/>
              <w:numPr>
                <w:ilvl w:val="0"/>
                <w:numId w:val="24"/>
              </w:numPr>
            </w:pPr>
            <w:r>
              <w:t>Special relativity</w:t>
            </w:r>
          </w:p>
          <w:p w:rsidR="00B943B4" w:rsidRDefault="00B943B4" w:rsidP="00B943B4">
            <w:pPr>
              <w:pStyle w:val="TableBullet"/>
              <w:numPr>
                <w:ilvl w:val="0"/>
                <w:numId w:val="24"/>
              </w:numPr>
            </w:pPr>
            <w:r>
              <w:t>Quantum theory</w:t>
            </w:r>
          </w:p>
          <w:p w:rsidR="00B943B4" w:rsidRDefault="00B943B4" w:rsidP="00B943B4">
            <w:pPr>
              <w:pStyle w:val="TableBullet"/>
              <w:numPr>
                <w:ilvl w:val="0"/>
                <w:numId w:val="24"/>
              </w:numPr>
            </w:pPr>
            <w:r>
              <w:t>The Standard Model</w:t>
            </w:r>
          </w:p>
        </w:tc>
      </w:tr>
    </w:tbl>
    <w:p w:rsidR="00B943B4" w:rsidRPr="005827C4" w:rsidRDefault="00B943B4" w:rsidP="005827C4"/>
    <w:p w:rsidR="00B943B4" w:rsidRPr="009A2B10" w:rsidRDefault="00B943B4" w:rsidP="00B943B4">
      <w:pPr>
        <w:keepNext/>
        <w:keepLines/>
        <w:spacing w:before="240" w:after="120"/>
        <w:outlineLvl w:val="2"/>
        <w:rPr>
          <w:b/>
          <w:color w:val="6D6F71"/>
          <w:sz w:val="28"/>
          <w:szCs w:val="28"/>
        </w:rPr>
      </w:pPr>
      <w:bookmarkStart w:id="276" w:name="_Toc16163634"/>
      <w:r w:rsidRPr="009A2B10">
        <w:rPr>
          <w:b/>
          <w:color w:val="6D6F71"/>
          <w:sz w:val="28"/>
          <w:szCs w:val="28"/>
        </w:rPr>
        <w:t>Assessment</w:t>
      </w:r>
      <w:bookmarkEnd w:id="276"/>
    </w:p>
    <w:p w:rsidR="00316849" w:rsidRDefault="00316849" w:rsidP="00316849">
      <w:pPr>
        <w:pStyle w:val="BodyText"/>
      </w:pPr>
      <w:r>
        <w:t>S</w:t>
      </w:r>
      <w:r w:rsidRPr="008C3C06">
        <w:t>chools devise assessment</w:t>
      </w:r>
      <w:r>
        <w:t>s</w:t>
      </w:r>
      <w:r w:rsidRPr="008C3C06">
        <w:t xml:space="preserve"> </w:t>
      </w:r>
      <w:r>
        <w:t>i</w:t>
      </w:r>
      <w:r w:rsidRPr="008C3C06">
        <w:t>n Units 1 and 2 to suit their local context.</w:t>
      </w:r>
      <w:r>
        <w:t xml:space="preserve"> </w:t>
      </w:r>
    </w:p>
    <w:p w:rsidR="00316849" w:rsidRDefault="00316849" w:rsidP="00316849">
      <w:pPr>
        <w:pStyle w:val="BodyText"/>
      </w:pPr>
      <w:r>
        <w:t>I</w:t>
      </w:r>
      <w:r w:rsidRPr="008C3C06">
        <w:t xml:space="preserve">n Units 3 and 4 </w:t>
      </w:r>
      <w:r>
        <w:t>s</w:t>
      </w:r>
      <w:r w:rsidRPr="008C3C06">
        <w:t>tudents complete four summative assessments</w:t>
      </w:r>
      <w:r>
        <w:t>. The results from each of the assessments are added together to provi</w:t>
      </w:r>
      <w:r w:rsidR="00284AA4">
        <w:t xml:space="preserve">de a subject score out of 100. </w:t>
      </w:r>
      <w:r>
        <w:t>Students will also receive an overall subject result (A–E).</w:t>
      </w:r>
    </w:p>
    <w:p w:rsidR="00DE76ED" w:rsidRDefault="00DE76ED" w:rsidP="005827C4">
      <w:pPr>
        <w:pStyle w:val="Caption"/>
        <w:rPr>
          <w:noProof/>
        </w:rPr>
      </w:pPr>
      <w:r>
        <w:t>Summative assessments</w:t>
      </w:r>
    </w:p>
    <w:tbl>
      <w:tblPr>
        <w:tblStyle w:val="QCAAtablestyle11"/>
        <w:tblW w:w="4900" w:type="pct"/>
        <w:tblLayout w:type="fixed"/>
        <w:tblLook w:val="04A0" w:firstRow="1" w:lastRow="0" w:firstColumn="1" w:lastColumn="0" w:noHBand="0" w:noVBand="1"/>
      </w:tblPr>
      <w:tblGrid>
        <w:gridCol w:w="3818"/>
        <w:gridCol w:w="690"/>
        <w:gridCol w:w="3682"/>
        <w:gridCol w:w="690"/>
      </w:tblGrid>
      <w:tr w:rsidR="002616D1" w:rsidRPr="009A2B10" w:rsidTr="00F92889">
        <w:trPr>
          <w:cnfStyle w:val="100000000000" w:firstRow="1" w:lastRow="0" w:firstColumn="0" w:lastColumn="0" w:oddVBand="0" w:evenVBand="0" w:oddHBand="0" w:evenHBand="0" w:firstRowFirstColumn="0" w:firstRowLastColumn="0" w:lastRowFirstColumn="0" w:lastRowLastColumn="0"/>
        </w:trPr>
        <w:tc>
          <w:tcPr>
            <w:tcW w:w="4678" w:type="dxa"/>
            <w:gridSpan w:val="2"/>
          </w:tcPr>
          <w:p w:rsidR="002616D1" w:rsidRPr="009A2B10" w:rsidRDefault="002616D1" w:rsidP="00B943B4">
            <w:pPr>
              <w:pStyle w:val="Tableheading"/>
            </w:pPr>
            <w:r w:rsidRPr="009A2B10">
              <w:t>Unit 3</w:t>
            </w:r>
          </w:p>
        </w:tc>
        <w:tc>
          <w:tcPr>
            <w:tcW w:w="4536" w:type="dxa"/>
            <w:gridSpan w:val="2"/>
          </w:tcPr>
          <w:p w:rsidR="002616D1" w:rsidRPr="009A2B10" w:rsidRDefault="002616D1" w:rsidP="00B943B4">
            <w:pPr>
              <w:pStyle w:val="Tableheading"/>
            </w:pPr>
            <w:r w:rsidRPr="009A2B10">
              <w:t>Unit 4</w:t>
            </w:r>
          </w:p>
        </w:tc>
      </w:tr>
      <w:tr w:rsidR="002616D1" w:rsidRPr="009A2B10" w:rsidTr="00F92889">
        <w:tc>
          <w:tcPr>
            <w:tcW w:w="3969" w:type="dxa"/>
          </w:tcPr>
          <w:p w:rsidR="002616D1" w:rsidRPr="009A2B10" w:rsidRDefault="002616D1" w:rsidP="00B943B4">
            <w:r w:rsidRPr="009A2B10">
              <w:t xml:space="preserve">Summative internal assessment 1 (IA1): </w:t>
            </w:r>
          </w:p>
          <w:p w:rsidR="002616D1" w:rsidRPr="009A2B10" w:rsidRDefault="002616D1" w:rsidP="008C3C06">
            <w:pPr>
              <w:pStyle w:val="TableBullet"/>
            </w:pPr>
            <w:r w:rsidRPr="009A2B10">
              <w:t>Data test</w:t>
            </w:r>
          </w:p>
        </w:tc>
        <w:tc>
          <w:tcPr>
            <w:tcW w:w="0" w:type="dxa"/>
          </w:tcPr>
          <w:p w:rsidR="002616D1" w:rsidRPr="009A2B10" w:rsidRDefault="002616D1" w:rsidP="00B943B4">
            <w:r w:rsidRPr="009A2B10">
              <w:t>10%</w:t>
            </w:r>
          </w:p>
        </w:tc>
        <w:tc>
          <w:tcPr>
            <w:tcW w:w="3827" w:type="dxa"/>
            <w:vMerge w:val="restart"/>
          </w:tcPr>
          <w:p w:rsidR="002616D1" w:rsidRPr="009A2B10" w:rsidRDefault="002616D1" w:rsidP="00B943B4">
            <w:r w:rsidRPr="009A2B10">
              <w:t xml:space="preserve">Summative internal assessment 3 (IA3): </w:t>
            </w:r>
          </w:p>
          <w:p w:rsidR="002616D1" w:rsidRPr="009A2B10" w:rsidRDefault="002616D1" w:rsidP="008C3C06">
            <w:pPr>
              <w:pStyle w:val="TableBullet"/>
            </w:pPr>
            <w:r w:rsidRPr="009A2B10">
              <w:t>Research investigation</w:t>
            </w:r>
          </w:p>
          <w:p w:rsidR="002616D1" w:rsidRPr="009A2B10" w:rsidRDefault="002616D1" w:rsidP="00B943B4">
            <w:pPr>
              <w:tabs>
                <w:tab w:val="num" w:pos="170"/>
              </w:tabs>
              <w:ind w:left="170" w:hanging="170"/>
              <w:rPr>
                <w:color w:val="000000" w:themeColor="text1"/>
                <w:lang w:eastAsia="en-US"/>
              </w:rPr>
            </w:pPr>
          </w:p>
        </w:tc>
        <w:tc>
          <w:tcPr>
            <w:tcW w:w="709" w:type="dxa"/>
            <w:vMerge w:val="restart"/>
          </w:tcPr>
          <w:p w:rsidR="002616D1" w:rsidRPr="009A2B10" w:rsidRDefault="002616D1" w:rsidP="00B943B4">
            <w:r w:rsidRPr="009A2B10">
              <w:t>20%</w:t>
            </w:r>
          </w:p>
          <w:p w:rsidR="002616D1" w:rsidRPr="009A2B10" w:rsidRDefault="002616D1" w:rsidP="00B943B4"/>
        </w:tc>
      </w:tr>
      <w:tr w:rsidR="002616D1" w:rsidRPr="009A2B10" w:rsidTr="00F92889">
        <w:tc>
          <w:tcPr>
            <w:tcW w:w="3969" w:type="dxa"/>
          </w:tcPr>
          <w:p w:rsidR="002616D1" w:rsidRPr="009A2B10" w:rsidRDefault="002616D1" w:rsidP="00B943B4">
            <w:r w:rsidRPr="009A2B10">
              <w:t>Summativ</w:t>
            </w:r>
            <w:r w:rsidR="00284AA4">
              <w:t xml:space="preserve">e internal assessment 2 (IA2): </w:t>
            </w:r>
          </w:p>
          <w:p w:rsidR="002616D1" w:rsidRPr="009A2B10" w:rsidRDefault="002616D1" w:rsidP="008C3C06">
            <w:pPr>
              <w:pStyle w:val="TableBullet"/>
            </w:pPr>
            <w:r w:rsidRPr="009A2B10">
              <w:t xml:space="preserve">Student experiment </w:t>
            </w:r>
          </w:p>
        </w:tc>
        <w:tc>
          <w:tcPr>
            <w:tcW w:w="0" w:type="dxa"/>
          </w:tcPr>
          <w:p w:rsidR="002616D1" w:rsidRPr="009A2B10" w:rsidRDefault="002616D1" w:rsidP="00B943B4">
            <w:r w:rsidRPr="009A2B10">
              <w:t>20%</w:t>
            </w:r>
          </w:p>
        </w:tc>
        <w:tc>
          <w:tcPr>
            <w:tcW w:w="3827" w:type="dxa"/>
            <w:vMerge/>
          </w:tcPr>
          <w:p w:rsidR="002616D1" w:rsidRPr="009A2B10" w:rsidRDefault="002616D1" w:rsidP="00B943B4">
            <w:pPr>
              <w:tabs>
                <w:tab w:val="num" w:pos="170"/>
              </w:tabs>
              <w:ind w:left="170" w:hanging="170"/>
              <w:rPr>
                <w:color w:val="000000" w:themeColor="text1"/>
                <w:lang w:eastAsia="en-US"/>
              </w:rPr>
            </w:pPr>
          </w:p>
        </w:tc>
        <w:tc>
          <w:tcPr>
            <w:tcW w:w="709" w:type="dxa"/>
            <w:vMerge/>
          </w:tcPr>
          <w:p w:rsidR="002616D1" w:rsidRPr="009A2B10" w:rsidRDefault="002616D1" w:rsidP="00B943B4"/>
        </w:tc>
      </w:tr>
      <w:tr w:rsidR="00341E42" w:rsidRPr="009A2B10" w:rsidTr="00BE180B">
        <w:tc>
          <w:tcPr>
            <w:tcW w:w="9214" w:type="dxa"/>
            <w:gridSpan w:val="4"/>
          </w:tcPr>
          <w:p w:rsidR="00341E42" w:rsidRPr="009A2B10" w:rsidRDefault="00341E42" w:rsidP="00BE180B">
            <w:pPr>
              <w:pStyle w:val="Tabletext"/>
              <w:jc w:val="center"/>
            </w:pPr>
            <w:r w:rsidRPr="009A2B10">
              <w:t xml:space="preserve">Summative external assessment (EA): </w:t>
            </w:r>
            <w:r>
              <w:t>50%</w:t>
            </w:r>
          </w:p>
          <w:p w:rsidR="00341E42" w:rsidRPr="009A2B10" w:rsidRDefault="00341E42" w:rsidP="00BE180B">
            <w:pPr>
              <w:pStyle w:val="TableBullet"/>
              <w:jc w:val="center"/>
            </w:pPr>
            <w:r w:rsidRPr="009A2B10">
              <w:t>Examination</w:t>
            </w:r>
          </w:p>
        </w:tc>
      </w:tr>
    </w:tbl>
    <w:p w:rsidR="00B943B4" w:rsidRPr="009A2B10" w:rsidRDefault="00B943B4" w:rsidP="00B943B4"/>
    <w:p w:rsidR="00DA7EFE" w:rsidRDefault="00DA7EFE" w:rsidP="00DA7EFE">
      <w:pPr>
        <w:pStyle w:val="BodyText"/>
      </w:pPr>
      <w:r>
        <w:br w:type="page"/>
      </w:r>
    </w:p>
    <w:tbl>
      <w:tblPr>
        <w:tblStyle w:val="TextLayout"/>
        <w:tblW w:w="5650" w:type="pct"/>
        <w:tblInd w:w="-170" w:type="dxa"/>
        <w:tblLayout w:type="fixed"/>
        <w:tblLook w:val="04A0" w:firstRow="1" w:lastRow="0" w:firstColumn="1" w:lastColumn="0" w:noHBand="0" w:noVBand="1"/>
      </w:tblPr>
      <w:tblGrid>
        <w:gridCol w:w="141"/>
        <w:gridCol w:w="9264"/>
        <w:gridCol w:w="845"/>
      </w:tblGrid>
      <w:tr w:rsidR="00840BAD" w:rsidRPr="003B6F39" w:rsidTr="008A218E">
        <w:trPr>
          <w:trHeight w:hRule="exact" w:val="851"/>
        </w:trPr>
        <w:tc>
          <w:tcPr>
            <w:tcW w:w="141" w:type="dxa"/>
            <w:shd w:val="clear" w:color="auto" w:fill="84BD00"/>
          </w:tcPr>
          <w:p w:rsidR="00840BAD" w:rsidRDefault="00840BAD" w:rsidP="002037BC">
            <w:pPr>
              <w:pStyle w:val="Tabletext"/>
            </w:pPr>
          </w:p>
        </w:tc>
        <w:tc>
          <w:tcPr>
            <w:tcW w:w="9264" w:type="dxa"/>
            <w:tcMar>
              <w:left w:w="57" w:type="dxa"/>
            </w:tcMar>
            <w:vAlign w:val="center"/>
          </w:tcPr>
          <w:p w:rsidR="00840BAD" w:rsidRDefault="00840BAD" w:rsidP="00F601D0">
            <w:pPr>
              <w:pStyle w:val="SubjectHeading"/>
            </w:pPr>
            <w:r>
              <w:t>Psychology</w:t>
            </w:r>
          </w:p>
          <w:p w:rsidR="00840BAD" w:rsidRPr="00E86C01" w:rsidRDefault="00840BAD" w:rsidP="002037BC">
            <w:pPr>
              <w:pStyle w:val="Heading3"/>
              <w:spacing w:before="0" w:after="0"/>
            </w:pPr>
            <w:bookmarkStart w:id="277" w:name="_Toc16163635"/>
            <w:r>
              <w:t>General senior subject</w:t>
            </w:r>
            <w:bookmarkEnd w:id="277"/>
          </w:p>
        </w:tc>
        <w:tc>
          <w:tcPr>
            <w:tcW w:w="845" w:type="dxa"/>
            <w:shd w:val="clear" w:color="auto" w:fill="84BD00"/>
            <w:tcMar>
              <w:bottom w:w="28" w:type="dxa"/>
              <w:right w:w="57" w:type="dxa"/>
            </w:tcMar>
            <w:vAlign w:val="bottom"/>
          </w:tcPr>
          <w:p w:rsidR="00840BAD" w:rsidRPr="00C423A4" w:rsidRDefault="00840BAD" w:rsidP="002037BC">
            <w:pPr>
              <w:pStyle w:val="Heading3"/>
              <w:spacing w:before="0" w:after="100" w:afterAutospacing="1"/>
              <w:jc w:val="right"/>
              <w:rPr>
                <w:color w:val="auto"/>
                <w:sz w:val="17"/>
                <w:szCs w:val="17"/>
              </w:rPr>
            </w:pPr>
            <w:bookmarkStart w:id="278" w:name="_Toc16163636"/>
            <w:r w:rsidRPr="00C423A4">
              <w:rPr>
                <w:color w:val="auto"/>
                <w:sz w:val="17"/>
                <w:szCs w:val="17"/>
              </w:rPr>
              <w:t>General</w:t>
            </w:r>
            <w:bookmarkEnd w:id="278"/>
          </w:p>
        </w:tc>
      </w:tr>
      <w:tr w:rsidR="004D730A" w:rsidRPr="003B6F39" w:rsidTr="008A218E">
        <w:trPr>
          <w:trHeight w:hRule="exact" w:val="113"/>
        </w:trPr>
        <w:tc>
          <w:tcPr>
            <w:tcW w:w="10250" w:type="dxa"/>
            <w:gridSpan w:val="3"/>
            <w:shd w:val="clear" w:color="auto" w:fill="auto"/>
          </w:tcPr>
          <w:p w:rsidR="004D730A" w:rsidRPr="00C423A4" w:rsidRDefault="004D730A" w:rsidP="00CE28F7">
            <w:pPr>
              <w:pStyle w:val="Heading3"/>
              <w:spacing w:before="0" w:after="100" w:afterAutospacing="1"/>
              <w:rPr>
                <w:color w:val="auto"/>
                <w:sz w:val="17"/>
                <w:szCs w:val="17"/>
              </w:rPr>
            </w:pPr>
          </w:p>
        </w:tc>
      </w:tr>
    </w:tbl>
    <w:p w:rsidR="008A218E" w:rsidRDefault="008A218E" w:rsidP="008A218E">
      <w:pPr>
        <w:pStyle w:val="BodyText"/>
        <w:spacing w:before="120"/>
        <w:rPr>
          <w:noProof/>
        </w:rPr>
        <w:sectPr w:rsidR="008A218E" w:rsidSect="00500900">
          <w:type w:val="continuous"/>
          <w:pgSz w:w="11907" w:h="16840" w:code="9"/>
          <w:pgMar w:top="1134" w:right="1418" w:bottom="1701" w:left="1418" w:header="567" w:footer="284" w:gutter="0"/>
          <w:cols w:space="720"/>
          <w:formProt w:val="0"/>
          <w:noEndnote/>
          <w:docGrid w:linePitch="299"/>
        </w:sectPr>
      </w:pPr>
    </w:p>
    <w:p w:rsidR="008A218E" w:rsidRDefault="008A218E" w:rsidP="008A218E">
      <w:pPr>
        <w:pStyle w:val="BodyText"/>
        <w:spacing w:before="120"/>
        <w:rPr>
          <w:noProof/>
        </w:rPr>
      </w:pPr>
      <w:r w:rsidRPr="008B609B">
        <w:rPr>
          <w:noProof/>
        </w:rPr>
        <w:t>Psychology provides opportunities for students to engage with concepts that explain behaviours and underlying cognitions.</w:t>
      </w:r>
    </w:p>
    <w:p w:rsidR="008A218E" w:rsidRDefault="008A218E" w:rsidP="008A218E">
      <w:pPr>
        <w:pStyle w:val="BodyText"/>
        <w:spacing w:before="120"/>
        <w:rPr>
          <w:noProof/>
        </w:rPr>
      </w:pPr>
      <w:r>
        <w:rPr>
          <w:noProof/>
        </w:rPr>
        <w:t>S</w:t>
      </w:r>
      <w:r w:rsidRPr="008B609B">
        <w:rPr>
          <w:noProof/>
        </w:rPr>
        <w:t xml:space="preserve">tudents examine individual development in the form of the role of the brain, cognitive development, human consciousness and sleep. </w:t>
      </w:r>
      <w:r>
        <w:rPr>
          <w:noProof/>
        </w:rPr>
        <w:t xml:space="preserve">They </w:t>
      </w:r>
      <w:r w:rsidRPr="008B609B">
        <w:rPr>
          <w:noProof/>
        </w:rPr>
        <w:t>investigate the concept of intelligence</w:t>
      </w:r>
      <w:r w:rsidR="00BE180B">
        <w:rPr>
          <w:noProof/>
        </w:rPr>
        <w:t>;</w:t>
      </w:r>
      <w:r w:rsidRPr="008B609B">
        <w:rPr>
          <w:noProof/>
        </w:rPr>
        <w:t xml:space="preserve"> the process of diagnosis and how to classify psychological disorder and determine an effective treatment</w:t>
      </w:r>
      <w:r w:rsidR="00BE180B">
        <w:rPr>
          <w:noProof/>
        </w:rPr>
        <w:t>;</w:t>
      </w:r>
      <w:r w:rsidRPr="008B609B">
        <w:rPr>
          <w:noProof/>
        </w:rPr>
        <w:t xml:space="preserve"> and the contribution of emotion and motivation on individual behaviour. </w:t>
      </w:r>
      <w:r>
        <w:rPr>
          <w:noProof/>
        </w:rPr>
        <w:t xml:space="preserve">They </w:t>
      </w:r>
      <w:r w:rsidRPr="008B609B">
        <w:rPr>
          <w:noProof/>
        </w:rPr>
        <w:t xml:space="preserve">examine individual thinking and how it is determined by the brain, including perception, memory, and learning. </w:t>
      </w:r>
      <w:r>
        <w:rPr>
          <w:noProof/>
        </w:rPr>
        <w:t xml:space="preserve">They </w:t>
      </w:r>
      <w:r w:rsidRPr="008B609B">
        <w:rPr>
          <w:noProof/>
        </w:rPr>
        <w:t>consider the influence of others by examining theories of social psychology, interpersonal processes, attitudes and cross-cultural psychology.</w:t>
      </w:r>
    </w:p>
    <w:p w:rsidR="006F180B" w:rsidRDefault="008A218E" w:rsidP="006F180B">
      <w:pPr>
        <w:pStyle w:val="BodyText"/>
        <w:spacing w:before="120"/>
        <w:rPr>
          <w:noProof/>
        </w:rPr>
      </w:pPr>
      <w:r w:rsidRPr="00005225">
        <w:rPr>
          <w:noProof/>
        </w:rPr>
        <w:t>Students learn and apply aspects of the knowledge and skill of the discipline (thinking, experimentation, problem-solving and research skills), understand how it works and how it may impact society.</w:t>
      </w:r>
    </w:p>
    <w:p w:rsidR="008A218E" w:rsidRDefault="006F180B" w:rsidP="006F180B">
      <w:pPr>
        <w:pStyle w:val="Heading3"/>
        <w:spacing w:before="120"/>
        <w:rPr>
          <w:noProof/>
        </w:rPr>
      </w:pPr>
      <w:r>
        <w:rPr>
          <w:noProof/>
        </w:rPr>
        <w:br w:type="column"/>
      </w:r>
      <w:bookmarkStart w:id="279" w:name="_Toc16163637"/>
      <w:r w:rsidR="008A218E">
        <w:t>Pathways</w:t>
      </w:r>
      <w:bookmarkEnd w:id="279"/>
    </w:p>
    <w:p w:rsidR="008A218E" w:rsidRDefault="008A218E" w:rsidP="008A218E">
      <w:pPr>
        <w:pStyle w:val="BodyText"/>
        <w:spacing w:before="120"/>
      </w:pPr>
      <w:r w:rsidRPr="00005225">
        <w:rPr>
          <w:noProof/>
        </w:rPr>
        <w:t>A course of study in Psychology can establish a basis for further education and employment in the fields of psychology, sales, human resourcing, training, social work, health, law, business, marketing and education.</w:t>
      </w:r>
    </w:p>
    <w:p w:rsidR="008A218E" w:rsidRDefault="008A218E" w:rsidP="008A218E">
      <w:pPr>
        <w:pStyle w:val="Heading3"/>
      </w:pPr>
      <w:bookmarkStart w:id="280" w:name="_Toc16163638"/>
      <w:r>
        <w:t>Objectives</w:t>
      </w:r>
      <w:bookmarkEnd w:id="280"/>
    </w:p>
    <w:p w:rsidR="008A218E" w:rsidRDefault="008A218E" w:rsidP="008A218E">
      <w:pPr>
        <w:pStyle w:val="BodyText"/>
        <w:spacing w:before="120"/>
        <w:rPr>
          <w:noProof/>
        </w:rPr>
      </w:pPr>
      <w:r>
        <w:rPr>
          <w:noProof/>
        </w:rPr>
        <w:t>By the conclusion of the course of study, students will:</w:t>
      </w:r>
    </w:p>
    <w:p w:rsidR="008A218E" w:rsidRDefault="008A218E" w:rsidP="008A218E">
      <w:pPr>
        <w:pStyle w:val="ListBullet0"/>
        <w:rPr>
          <w:noProof/>
        </w:rPr>
      </w:pPr>
      <w:r>
        <w:rPr>
          <w:noProof/>
        </w:rPr>
        <w:t>describe and explain scientific concepts, theories, models and systems and their limitations</w:t>
      </w:r>
    </w:p>
    <w:p w:rsidR="008A218E" w:rsidRDefault="008A218E" w:rsidP="008A218E">
      <w:pPr>
        <w:pStyle w:val="ListBullet0"/>
        <w:rPr>
          <w:noProof/>
        </w:rPr>
      </w:pPr>
      <w:r>
        <w:rPr>
          <w:noProof/>
        </w:rPr>
        <w:t>apply understanding of scientific concepts, theories, models and systems within their limitations</w:t>
      </w:r>
    </w:p>
    <w:p w:rsidR="008A218E" w:rsidRDefault="008A218E" w:rsidP="008A218E">
      <w:pPr>
        <w:pStyle w:val="ListBullet0"/>
        <w:rPr>
          <w:noProof/>
        </w:rPr>
      </w:pPr>
      <w:r>
        <w:rPr>
          <w:noProof/>
        </w:rPr>
        <w:t>analyse evidence</w:t>
      </w:r>
    </w:p>
    <w:p w:rsidR="008A218E" w:rsidRDefault="008A218E" w:rsidP="008A218E">
      <w:pPr>
        <w:pStyle w:val="ListBullet0"/>
        <w:rPr>
          <w:noProof/>
        </w:rPr>
      </w:pPr>
      <w:r>
        <w:rPr>
          <w:noProof/>
        </w:rPr>
        <w:t>interpret evidence</w:t>
      </w:r>
    </w:p>
    <w:p w:rsidR="008A218E" w:rsidRDefault="008A218E" w:rsidP="008A218E">
      <w:pPr>
        <w:pStyle w:val="ListBullet0"/>
        <w:rPr>
          <w:noProof/>
        </w:rPr>
      </w:pPr>
      <w:r>
        <w:rPr>
          <w:noProof/>
        </w:rPr>
        <w:t>investigate phenomena</w:t>
      </w:r>
    </w:p>
    <w:p w:rsidR="00341E42" w:rsidRDefault="008A218E" w:rsidP="008A218E">
      <w:pPr>
        <w:pStyle w:val="ListBullet0"/>
      </w:pPr>
      <w:r>
        <w:rPr>
          <w:noProof/>
        </w:rPr>
        <w:t>evaluate processes, claims and conclusions</w:t>
      </w:r>
    </w:p>
    <w:p w:rsidR="008A218E" w:rsidRDefault="00341E42" w:rsidP="008A218E">
      <w:pPr>
        <w:pStyle w:val="ListBullet0"/>
      </w:pPr>
      <w:r>
        <w:rPr>
          <w:noProof/>
        </w:rPr>
        <w:t>communicates understandings, findings, arguments and conclus</w:t>
      </w:r>
      <w:r w:rsidR="005A0950">
        <w:rPr>
          <w:noProof/>
        </w:rPr>
        <w:t>i</w:t>
      </w:r>
      <w:r>
        <w:rPr>
          <w:noProof/>
        </w:rPr>
        <w:t>ons</w:t>
      </w:r>
      <w:r w:rsidR="008A218E">
        <w:rPr>
          <w:noProof/>
        </w:rPr>
        <w:t>.</w:t>
      </w:r>
    </w:p>
    <w:p w:rsidR="008A218E" w:rsidRDefault="008A218E" w:rsidP="005B299D">
      <w:pPr>
        <w:pStyle w:val="Heading3"/>
        <w:sectPr w:rsidR="008A218E" w:rsidSect="00500900">
          <w:type w:val="continuous"/>
          <w:pgSz w:w="11907" w:h="16840" w:code="9"/>
          <w:pgMar w:top="1134" w:right="1418" w:bottom="1701" w:left="1418" w:header="567" w:footer="284" w:gutter="0"/>
          <w:cols w:num="2" w:space="720"/>
          <w:formProt w:val="0"/>
          <w:noEndnote/>
          <w:docGrid w:linePitch="299"/>
        </w:sectPr>
      </w:pPr>
    </w:p>
    <w:p w:rsidR="008A218E" w:rsidRDefault="008A218E" w:rsidP="008A218E">
      <w:pPr>
        <w:pStyle w:val="Heading3"/>
      </w:pPr>
      <w:bookmarkStart w:id="281" w:name="_Toc16163639"/>
      <w:r>
        <w:t>Structure</w:t>
      </w:r>
      <w:bookmarkEnd w:id="281"/>
    </w:p>
    <w:tbl>
      <w:tblPr>
        <w:tblStyle w:val="QCAAtablestyle1"/>
        <w:tblW w:w="4900" w:type="pct"/>
        <w:tblLook w:val="04A0" w:firstRow="1" w:lastRow="0" w:firstColumn="1" w:lastColumn="0" w:noHBand="0" w:noVBand="1"/>
      </w:tblPr>
      <w:tblGrid>
        <w:gridCol w:w="2228"/>
        <w:gridCol w:w="2222"/>
        <w:gridCol w:w="2211"/>
        <w:gridCol w:w="2219"/>
      </w:tblGrid>
      <w:tr w:rsidR="008A218E" w:rsidRPr="008B609B" w:rsidTr="00273408">
        <w:trPr>
          <w:cnfStyle w:val="100000000000" w:firstRow="1" w:lastRow="0" w:firstColumn="0" w:lastColumn="0" w:oddVBand="0" w:evenVBand="0" w:oddHBand="0" w:evenHBand="0" w:firstRowFirstColumn="0" w:firstRowLastColumn="0" w:lastRowFirstColumn="0" w:lastRowLastColumn="0"/>
        </w:trPr>
        <w:tc>
          <w:tcPr>
            <w:tcW w:w="2275" w:type="dxa"/>
          </w:tcPr>
          <w:p w:rsidR="008A218E" w:rsidRPr="008B609B" w:rsidRDefault="008A218E" w:rsidP="00273408">
            <w:pPr>
              <w:pStyle w:val="Tableheading"/>
            </w:pPr>
            <w:r w:rsidRPr="008B609B">
              <w:t>Unit 1</w:t>
            </w:r>
          </w:p>
        </w:tc>
        <w:tc>
          <w:tcPr>
            <w:tcW w:w="2275" w:type="dxa"/>
          </w:tcPr>
          <w:p w:rsidR="008A218E" w:rsidRPr="008B609B" w:rsidRDefault="008A218E" w:rsidP="00273408">
            <w:pPr>
              <w:pStyle w:val="Tableheading"/>
            </w:pPr>
            <w:r w:rsidRPr="008B609B">
              <w:t>Unit 2</w:t>
            </w:r>
          </w:p>
        </w:tc>
        <w:tc>
          <w:tcPr>
            <w:tcW w:w="2275" w:type="dxa"/>
          </w:tcPr>
          <w:p w:rsidR="008A218E" w:rsidRPr="008B609B" w:rsidRDefault="008A218E" w:rsidP="00273408">
            <w:pPr>
              <w:pStyle w:val="Tableheading"/>
            </w:pPr>
            <w:r w:rsidRPr="008B609B">
              <w:t>Unit 3</w:t>
            </w:r>
          </w:p>
        </w:tc>
        <w:tc>
          <w:tcPr>
            <w:tcW w:w="2276" w:type="dxa"/>
          </w:tcPr>
          <w:p w:rsidR="008A218E" w:rsidRPr="008B609B" w:rsidRDefault="008A218E" w:rsidP="00273408">
            <w:pPr>
              <w:pStyle w:val="Tableheading"/>
            </w:pPr>
            <w:r w:rsidRPr="008B609B">
              <w:t>Unit 4</w:t>
            </w:r>
          </w:p>
        </w:tc>
      </w:tr>
      <w:tr w:rsidR="008A218E" w:rsidTr="00273408">
        <w:tc>
          <w:tcPr>
            <w:tcW w:w="0" w:type="dxa"/>
          </w:tcPr>
          <w:p w:rsidR="008A218E" w:rsidRPr="00AF5888" w:rsidRDefault="008A218E" w:rsidP="00273408">
            <w:pPr>
              <w:pStyle w:val="TableText0"/>
              <w:rPr>
                <w:b/>
              </w:rPr>
            </w:pPr>
            <w:r w:rsidRPr="00AF5888">
              <w:rPr>
                <w:b/>
              </w:rPr>
              <w:t>Individual development</w:t>
            </w:r>
          </w:p>
          <w:p w:rsidR="008A218E" w:rsidRDefault="008A218E" w:rsidP="008A218E">
            <w:pPr>
              <w:pStyle w:val="TableBullet"/>
              <w:numPr>
                <w:ilvl w:val="0"/>
                <w:numId w:val="24"/>
              </w:numPr>
            </w:pPr>
            <w:r>
              <w:t>Psychological science A</w:t>
            </w:r>
          </w:p>
          <w:p w:rsidR="008A218E" w:rsidRDefault="008A218E" w:rsidP="008A218E">
            <w:pPr>
              <w:pStyle w:val="TableBullet"/>
              <w:numPr>
                <w:ilvl w:val="0"/>
                <w:numId w:val="24"/>
              </w:numPr>
            </w:pPr>
            <w:r>
              <w:t>The role of the brain</w:t>
            </w:r>
          </w:p>
          <w:p w:rsidR="008A218E" w:rsidRDefault="008A218E" w:rsidP="008A218E">
            <w:pPr>
              <w:pStyle w:val="TableBullet"/>
              <w:numPr>
                <w:ilvl w:val="0"/>
                <w:numId w:val="24"/>
              </w:numPr>
            </w:pPr>
            <w:r>
              <w:t>Cognitive development</w:t>
            </w:r>
          </w:p>
          <w:p w:rsidR="008A218E" w:rsidRDefault="008A218E" w:rsidP="008A218E">
            <w:pPr>
              <w:pStyle w:val="TableBullet"/>
              <w:numPr>
                <w:ilvl w:val="0"/>
                <w:numId w:val="24"/>
              </w:numPr>
            </w:pPr>
            <w:r>
              <w:t>Human consciousness and sleep</w:t>
            </w:r>
          </w:p>
        </w:tc>
        <w:tc>
          <w:tcPr>
            <w:tcW w:w="0" w:type="dxa"/>
          </w:tcPr>
          <w:p w:rsidR="008A218E" w:rsidRPr="00AF5888" w:rsidRDefault="008A218E" w:rsidP="00273408">
            <w:pPr>
              <w:pStyle w:val="TableText0"/>
              <w:rPr>
                <w:b/>
              </w:rPr>
            </w:pPr>
            <w:r w:rsidRPr="00AF5888">
              <w:rPr>
                <w:b/>
              </w:rPr>
              <w:t>Individual behaviour</w:t>
            </w:r>
          </w:p>
          <w:p w:rsidR="008A218E" w:rsidRDefault="008A218E" w:rsidP="008A218E">
            <w:pPr>
              <w:pStyle w:val="TableBullet"/>
              <w:numPr>
                <w:ilvl w:val="0"/>
                <w:numId w:val="24"/>
              </w:numPr>
            </w:pPr>
            <w:r>
              <w:t>Psychological science</w:t>
            </w:r>
            <w:r w:rsidR="00511AA6">
              <w:t> </w:t>
            </w:r>
            <w:r>
              <w:t>B</w:t>
            </w:r>
          </w:p>
          <w:p w:rsidR="008A218E" w:rsidRDefault="008A218E" w:rsidP="008A218E">
            <w:pPr>
              <w:pStyle w:val="TableBullet"/>
              <w:numPr>
                <w:ilvl w:val="0"/>
                <w:numId w:val="24"/>
              </w:numPr>
            </w:pPr>
            <w:r>
              <w:t>Intelligence</w:t>
            </w:r>
          </w:p>
          <w:p w:rsidR="008A218E" w:rsidRDefault="008A218E" w:rsidP="008A218E">
            <w:pPr>
              <w:pStyle w:val="TableBullet"/>
              <w:numPr>
                <w:ilvl w:val="0"/>
                <w:numId w:val="24"/>
              </w:numPr>
            </w:pPr>
            <w:r>
              <w:t>Diagnosis</w:t>
            </w:r>
          </w:p>
          <w:p w:rsidR="008A218E" w:rsidRDefault="008A218E" w:rsidP="008A218E">
            <w:pPr>
              <w:pStyle w:val="TableBullet"/>
              <w:numPr>
                <w:ilvl w:val="0"/>
                <w:numId w:val="24"/>
              </w:numPr>
            </w:pPr>
            <w:r>
              <w:t>Psychological disorders and treatments</w:t>
            </w:r>
          </w:p>
          <w:p w:rsidR="008A218E" w:rsidRDefault="008A218E" w:rsidP="008A218E">
            <w:pPr>
              <w:pStyle w:val="TableBullet"/>
              <w:numPr>
                <w:ilvl w:val="0"/>
                <w:numId w:val="24"/>
              </w:numPr>
            </w:pPr>
            <w:r>
              <w:t>Emotion and motivation</w:t>
            </w:r>
          </w:p>
        </w:tc>
        <w:tc>
          <w:tcPr>
            <w:tcW w:w="0" w:type="dxa"/>
            <w:shd w:val="clear" w:color="auto" w:fill="auto"/>
          </w:tcPr>
          <w:p w:rsidR="008A218E" w:rsidRPr="00AF5888" w:rsidRDefault="008A218E" w:rsidP="00273408">
            <w:pPr>
              <w:pStyle w:val="TableText0"/>
              <w:rPr>
                <w:b/>
              </w:rPr>
            </w:pPr>
            <w:r w:rsidRPr="00AF5888">
              <w:rPr>
                <w:b/>
              </w:rPr>
              <w:t>Individual thinking</w:t>
            </w:r>
          </w:p>
          <w:p w:rsidR="008A218E" w:rsidRDefault="008A218E" w:rsidP="008A218E">
            <w:pPr>
              <w:pStyle w:val="TableBullet"/>
              <w:numPr>
                <w:ilvl w:val="0"/>
                <w:numId w:val="24"/>
              </w:numPr>
            </w:pPr>
            <w:r>
              <w:t>Localisation of function in the brain</w:t>
            </w:r>
          </w:p>
          <w:p w:rsidR="008A218E" w:rsidRDefault="008A218E" w:rsidP="008A218E">
            <w:pPr>
              <w:pStyle w:val="TableBullet"/>
              <w:numPr>
                <w:ilvl w:val="0"/>
                <w:numId w:val="24"/>
              </w:numPr>
            </w:pPr>
            <w:r>
              <w:t>Visual perception</w:t>
            </w:r>
          </w:p>
          <w:p w:rsidR="008A218E" w:rsidRDefault="008A218E" w:rsidP="008A218E">
            <w:pPr>
              <w:pStyle w:val="TableBullet"/>
              <w:numPr>
                <w:ilvl w:val="0"/>
                <w:numId w:val="24"/>
              </w:numPr>
            </w:pPr>
            <w:r>
              <w:t>Memory</w:t>
            </w:r>
          </w:p>
          <w:p w:rsidR="008A218E" w:rsidRDefault="008A218E" w:rsidP="008A218E">
            <w:pPr>
              <w:pStyle w:val="TableBullet"/>
              <w:numPr>
                <w:ilvl w:val="0"/>
                <w:numId w:val="24"/>
              </w:numPr>
            </w:pPr>
            <w:r>
              <w:t>Learning</w:t>
            </w:r>
          </w:p>
        </w:tc>
        <w:tc>
          <w:tcPr>
            <w:tcW w:w="0" w:type="dxa"/>
            <w:shd w:val="clear" w:color="auto" w:fill="auto"/>
          </w:tcPr>
          <w:p w:rsidR="008A218E" w:rsidRPr="00AF5888" w:rsidRDefault="008A218E" w:rsidP="00273408">
            <w:pPr>
              <w:pStyle w:val="TableText0"/>
              <w:rPr>
                <w:b/>
              </w:rPr>
            </w:pPr>
            <w:r w:rsidRPr="00AF5888">
              <w:rPr>
                <w:b/>
              </w:rPr>
              <w:t>The influence of others</w:t>
            </w:r>
          </w:p>
          <w:p w:rsidR="008A218E" w:rsidRDefault="008A218E" w:rsidP="008A218E">
            <w:pPr>
              <w:pStyle w:val="TableBullet"/>
              <w:numPr>
                <w:ilvl w:val="0"/>
                <w:numId w:val="24"/>
              </w:numPr>
            </w:pPr>
            <w:r>
              <w:t>Social psychology</w:t>
            </w:r>
          </w:p>
          <w:p w:rsidR="008A218E" w:rsidRDefault="008A218E" w:rsidP="008A218E">
            <w:pPr>
              <w:pStyle w:val="TableBullet"/>
              <w:numPr>
                <w:ilvl w:val="0"/>
                <w:numId w:val="24"/>
              </w:numPr>
            </w:pPr>
            <w:r>
              <w:t>Interpersonal processes</w:t>
            </w:r>
          </w:p>
          <w:p w:rsidR="008A218E" w:rsidRDefault="008A218E" w:rsidP="008A218E">
            <w:pPr>
              <w:pStyle w:val="TableBullet"/>
              <w:numPr>
                <w:ilvl w:val="0"/>
                <w:numId w:val="24"/>
              </w:numPr>
            </w:pPr>
            <w:r>
              <w:t>Attitudes</w:t>
            </w:r>
          </w:p>
          <w:p w:rsidR="008A218E" w:rsidRDefault="008A218E" w:rsidP="008A218E">
            <w:pPr>
              <w:pStyle w:val="TableBullet"/>
              <w:numPr>
                <w:ilvl w:val="0"/>
                <w:numId w:val="24"/>
              </w:numPr>
            </w:pPr>
            <w:r>
              <w:t>Cross-cultural psychology</w:t>
            </w:r>
          </w:p>
        </w:tc>
      </w:tr>
    </w:tbl>
    <w:p w:rsidR="008A218E" w:rsidRPr="00500900" w:rsidRDefault="008A218E" w:rsidP="00500900">
      <w:r w:rsidRPr="00500900">
        <w:br w:type="page"/>
      </w:r>
    </w:p>
    <w:p w:rsidR="008A218E" w:rsidRPr="009A2B10" w:rsidRDefault="008A218E" w:rsidP="008A218E">
      <w:pPr>
        <w:keepNext/>
        <w:keepLines/>
        <w:spacing w:before="240" w:after="120"/>
        <w:outlineLvl w:val="2"/>
        <w:rPr>
          <w:b/>
          <w:color w:val="6D6F71"/>
          <w:sz w:val="28"/>
          <w:szCs w:val="28"/>
        </w:rPr>
      </w:pPr>
      <w:bookmarkStart w:id="282" w:name="_Toc16163640"/>
      <w:bookmarkStart w:id="283" w:name="_Hlk493071792"/>
      <w:r w:rsidRPr="009A2B10">
        <w:rPr>
          <w:b/>
          <w:color w:val="6D6F71"/>
          <w:sz w:val="28"/>
          <w:szCs w:val="28"/>
        </w:rPr>
        <w:t>Assessment</w:t>
      </w:r>
      <w:bookmarkEnd w:id="282"/>
    </w:p>
    <w:p w:rsidR="00316849" w:rsidRDefault="00316849" w:rsidP="00316849">
      <w:pPr>
        <w:pStyle w:val="BodyText"/>
      </w:pPr>
      <w:r>
        <w:t>S</w:t>
      </w:r>
      <w:r w:rsidRPr="008C3C06">
        <w:t>chools devise assessment</w:t>
      </w:r>
      <w:r>
        <w:t>s</w:t>
      </w:r>
      <w:r w:rsidRPr="008C3C06">
        <w:t xml:space="preserve"> </w:t>
      </w:r>
      <w:r>
        <w:t>i</w:t>
      </w:r>
      <w:r w:rsidRPr="008C3C06">
        <w:t>n Units 1 and 2 to suit their local context.</w:t>
      </w:r>
      <w:r>
        <w:t xml:space="preserve"> </w:t>
      </w:r>
    </w:p>
    <w:p w:rsidR="00316849" w:rsidRDefault="00316849" w:rsidP="00316849">
      <w:pPr>
        <w:pStyle w:val="BodyText"/>
      </w:pPr>
      <w:r>
        <w:t>I</w:t>
      </w:r>
      <w:r w:rsidRPr="008C3C06">
        <w:t xml:space="preserve">n Units 3 and 4 </w:t>
      </w:r>
      <w:r>
        <w:t>s</w:t>
      </w:r>
      <w:r w:rsidRPr="008C3C06">
        <w:t>tudents complete four summative assessments</w:t>
      </w:r>
      <w:r>
        <w:t>. The results from each of the assessments are added together to provi</w:t>
      </w:r>
      <w:r w:rsidR="00284AA4">
        <w:t xml:space="preserve">de a subject score out of 100. </w:t>
      </w:r>
      <w:r>
        <w:t>Students will also receive an overall subject result (A–E).</w:t>
      </w:r>
    </w:p>
    <w:p w:rsidR="0085241C" w:rsidRDefault="00DE76ED" w:rsidP="005827C4">
      <w:pPr>
        <w:pStyle w:val="Caption"/>
        <w:rPr>
          <w:noProof/>
        </w:rPr>
      </w:pPr>
      <w:r>
        <w:t>Summative assessments</w:t>
      </w:r>
    </w:p>
    <w:tbl>
      <w:tblPr>
        <w:tblStyle w:val="QCAAtablestyle11"/>
        <w:tblW w:w="4900" w:type="pct"/>
        <w:tblLayout w:type="fixed"/>
        <w:tblLook w:val="04A0" w:firstRow="1" w:lastRow="0" w:firstColumn="1" w:lastColumn="0" w:noHBand="0" w:noVBand="1"/>
      </w:tblPr>
      <w:tblGrid>
        <w:gridCol w:w="3892"/>
        <w:gridCol w:w="683"/>
        <w:gridCol w:w="3577"/>
        <w:gridCol w:w="728"/>
      </w:tblGrid>
      <w:tr w:rsidR="0085241C" w:rsidRPr="009A2B10" w:rsidTr="00FC4D0F">
        <w:trPr>
          <w:cnfStyle w:val="100000000000" w:firstRow="1" w:lastRow="0" w:firstColumn="0" w:lastColumn="0" w:oddVBand="0" w:evenVBand="0" w:oddHBand="0" w:evenHBand="0" w:firstRowFirstColumn="0" w:firstRowLastColumn="0" w:lastRowFirstColumn="0" w:lastRowLastColumn="0"/>
        </w:trPr>
        <w:tc>
          <w:tcPr>
            <w:tcW w:w="4689" w:type="dxa"/>
            <w:gridSpan w:val="2"/>
          </w:tcPr>
          <w:p w:rsidR="0085241C" w:rsidRPr="009A2B10" w:rsidRDefault="0085241C" w:rsidP="00273408">
            <w:pPr>
              <w:pStyle w:val="TableHeading0"/>
            </w:pPr>
            <w:r w:rsidRPr="009A2B10">
              <w:t>Unit 3</w:t>
            </w:r>
          </w:p>
        </w:tc>
        <w:tc>
          <w:tcPr>
            <w:tcW w:w="4412" w:type="dxa"/>
            <w:gridSpan w:val="2"/>
          </w:tcPr>
          <w:p w:rsidR="0085241C" w:rsidRPr="009A2B10" w:rsidRDefault="0085241C" w:rsidP="00273408">
            <w:pPr>
              <w:pStyle w:val="TableHeading0"/>
            </w:pPr>
            <w:r w:rsidRPr="009A2B10">
              <w:t>Unit 4</w:t>
            </w:r>
          </w:p>
        </w:tc>
      </w:tr>
      <w:tr w:rsidR="0085241C" w:rsidRPr="009A2B10" w:rsidTr="00FC4D0F">
        <w:tc>
          <w:tcPr>
            <w:tcW w:w="3994" w:type="dxa"/>
          </w:tcPr>
          <w:p w:rsidR="0085241C" w:rsidRPr="009A2B10" w:rsidRDefault="0085241C" w:rsidP="00273408">
            <w:pPr>
              <w:pStyle w:val="TableText0"/>
            </w:pPr>
            <w:r w:rsidRPr="009A2B10">
              <w:t xml:space="preserve">Summative internal assessment 1 (IA1): </w:t>
            </w:r>
          </w:p>
          <w:p w:rsidR="0085241C" w:rsidRPr="009A2B10" w:rsidRDefault="0085241C" w:rsidP="008A218E">
            <w:pPr>
              <w:pStyle w:val="TableBullet"/>
              <w:numPr>
                <w:ilvl w:val="0"/>
                <w:numId w:val="24"/>
              </w:numPr>
            </w:pPr>
            <w:r w:rsidRPr="009A2B10">
              <w:t>Data test</w:t>
            </w:r>
          </w:p>
        </w:tc>
        <w:tc>
          <w:tcPr>
            <w:tcW w:w="695" w:type="dxa"/>
          </w:tcPr>
          <w:p w:rsidR="0085241C" w:rsidRPr="009A2B10" w:rsidRDefault="0085241C" w:rsidP="00273408">
            <w:pPr>
              <w:pStyle w:val="TableText0"/>
            </w:pPr>
            <w:r w:rsidRPr="009A2B10">
              <w:t>10%</w:t>
            </w:r>
          </w:p>
        </w:tc>
        <w:tc>
          <w:tcPr>
            <w:tcW w:w="3670" w:type="dxa"/>
            <w:vMerge w:val="restart"/>
          </w:tcPr>
          <w:p w:rsidR="0085241C" w:rsidRPr="009A2B10" w:rsidRDefault="0085241C" w:rsidP="00273408">
            <w:pPr>
              <w:pStyle w:val="TableText0"/>
            </w:pPr>
            <w:r w:rsidRPr="009A2B10">
              <w:t>Summati</w:t>
            </w:r>
            <w:r w:rsidR="00FC4D0F">
              <w:t>ve internal assessment 3 (IA3):</w:t>
            </w:r>
          </w:p>
          <w:p w:rsidR="0085241C" w:rsidRPr="009A2B10" w:rsidRDefault="0085241C" w:rsidP="008A218E">
            <w:pPr>
              <w:pStyle w:val="TableBullet"/>
              <w:numPr>
                <w:ilvl w:val="0"/>
                <w:numId w:val="24"/>
              </w:numPr>
            </w:pPr>
            <w:r w:rsidRPr="009A2B10">
              <w:t>Research investigation</w:t>
            </w:r>
          </w:p>
        </w:tc>
        <w:tc>
          <w:tcPr>
            <w:tcW w:w="742" w:type="dxa"/>
            <w:vMerge w:val="restart"/>
          </w:tcPr>
          <w:p w:rsidR="0085241C" w:rsidRPr="009A2B10" w:rsidRDefault="0085241C" w:rsidP="00273408">
            <w:r w:rsidRPr="009A2B10">
              <w:t>20%</w:t>
            </w:r>
          </w:p>
          <w:p w:rsidR="0085241C" w:rsidRPr="009A2B10" w:rsidRDefault="0085241C" w:rsidP="00273408"/>
        </w:tc>
      </w:tr>
      <w:tr w:rsidR="0085241C" w:rsidRPr="009A2B10" w:rsidTr="00FC4D0F">
        <w:tc>
          <w:tcPr>
            <w:tcW w:w="3994" w:type="dxa"/>
          </w:tcPr>
          <w:p w:rsidR="0085241C" w:rsidRPr="009A2B10" w:rsidRDefault="0085241C" w:rsidP="00273408">
            <w:pPr>
              <w:pStyle w:val="TableText0"/>
            </w:pPr>
            <w:r w:rsidRPr="009A2B10">
              <w:t>Summativ</w:t>
            </w:r>
            <w:r w:rsidR="00284AA4">
              <w:t xml:space="preserve">e internal assessment 2 (IA2): </w:t>
            </w:r>
          </w:p>
          <w:p w:rsidR="0085241C" w:rsidRPr="009A2B10" w:rsidRDefault="0085241C" w:rsidP="008A218E">
            <w:pPr>
              <w:pStyle w:val="TableBullet"/>
              <w:numPr>
                <w:ilvl w:val="0"/>
                <w:numId w:val="24"/>
              </w:numPr>
            </w:pPr>
            <w:r w:rsidRPr="009A2B10">
              <w:t xml:space="preserve">Student experiment </w:t>
            </w:r>
          </w:p>
        </w:tc>
        <w:tc>
          <w:tcPr>
            <w:tcW w:w="695" w:type="dxa"/>
          </w:tcPr>
          <w:p w:rsidR="0085241C" w:rsidRPr="009A2B10" w:rsidRDefault="0085241C" w:rsidP="00273408">
            <w:pPr>
              <w:pStyle w:val="TableText0"/>
            </w:pPr>
            <w:r w:rsidRPr="009A2B10">
              <w:t>20%</w:t>
            </w:r>
          </w:p>
        </w:tc>
        <w:tc>
          <w:tcPr>
            <w:tcW w:w="3670" w:type="dxa"/>
            <w:vMerge/>
          </w:tcPr>
          <w:p w:rsidR="0085241C" w:rsidRPr="009A2B10" w:rsidRDefault="0085241C" w:rsidP="008A218E">
            <w:pPr>
              <w:pStyle w:val="TableBullet"/>
              <w:numPr>
                <w:ilvl w:val="0"/>
                <w:numId w:val="24"/>
              </w:numPr>
            </w:pPr>
          </w:p>
        </w:tc>
        <w:tc>
          <w:tcPr>
            <w:tcW w:w="742" w:type="dxa"/>
            <w:vMerge/>
          </w:tcPr>
          <w:p w:rsidR="0085241C" w:rsidRPr="009A2B10" w:rsidRDefault="0085241C" w:rsidP="00273408"/>
        </w:tc>
      </w:tr>
      <w:tr w:rsidR="00341E42" w:rsidRPr="009A2B10" w:rsidTr="00FC4D0F">
        <w:tc>
          <w:tcPr>
            <w:tcW w:w="9101" w:type="dxa"/>
            <w:gridSpan w:val="4"/>
          </w:tcPr>
          <w:p w:rsidR="00341E42" w:rsidRPr="009A2B10" w:rsidRDefault="00341E42" w:rsidP="008E433A">
            <w:pPr>
              <w:pStyle w:val="TableText0"/>
              <w:jc w:val="center"/>
            </w:pPr>
            <w:r w:rsidRPr="009A2B10">
              <w:t xml:space="preserve">Summative external assessment (EA): </w:t>
            </w:r>
            <w:r>
              <w:t>50%</w:t>
            </w:r>
          </w:p>
          <w:p w:rsidR="00341E42" w:rsidRPr="009A2B10" w:rsidRDefault="00341E42" w:rsidP="008E433A">
            <w:pPr>
              <w:pStyle w:val="TableBullet"/>
              <w:jc w:val="center"/>
            </w:pPr>
            <w:r w:rsidRPr="009A2B10">
              <w:t>Examination</w:t>
            </w:r>
          </w:p>
        </w:tc>
      </w:tr>
    </w:tbl>
    <w:p w:rsidR="008A218E" w:rsidRPr="009A2B10" w:rsidRDefault="008A218E" w:rsidP="008A218E"/>
    <w:bookmarkEnd w:id="283"/>
    <w:p w:rsidR="005B299D" w:rsidRDefault="005B299D" w:rsidP="005B299D">
      <w:r>
        <w:br w:type="page"/>
      </w:r>
    </w:p>
    <w:p w:rsidR="00C53E54" w:rsidRPr="00D20CAB" w:rsidRDefault="00C53E54" w:rsidP="00C53E54">
      <w:pPr>
        <w:pStyle w:val="BodyText"/>
      </w:pPr>
    </w:p>
    <w:tbl>
      <w:tblPr>
        <w:tblStyle w:val="TextLayout"/>
        <w:tblW w:w="5650" w:type="pct"/>
        <w:tblInd w:w="-170" w:type="dxa"/>
        <w:tblLayout w:type="fixed"/>
        <w:tblLook w:val="04A0" w:firstRow="1" w:lastRow="0" w:firstColumn="1" w:lastColumn="0" w:noHBand="0" w:noVBand="1"/>
      </w:tblPr>
      <w:tblGrid>
        <w:gridCol w:w="141"/>
        <w:gridCol w:w="9264"/>
        <w:gridCol w:w="845"/>
      </w:tblGrid>
      <w:tr w:rsidR="007642FE" w:rsidRPr="003B6F39" w:rsidTr="002037BC">
        <w:trPr>
          <w:trHeight w:hRule="exact" w:val="851"/>
        </w:trPr>
        <w:tc>
          <w:tcPr>
            <w:tcW w:w="142" w:type="dxa"/>
            <w:shd w:val="clear" w:color="auto" w:fill="84BD00"/>
          </w:tcPr>
          <w:p w:rsidR="007642FE" w:rsidRDefault="007642FE" w:rsidP="002037BC">
            <w:pPr>
              <w:pStyle w:val="Tabletext"/>
            </w:pPr>
          </w:p>
        </w:tc>
        <w:tc>
          <w:tcPr>
            <w:tcW w:w="9323" w:type="dxa"/>
            <w:tcMar>
              <w:left w:w="57" w:type="dxa"/>
            </w:tcMar>
            <w:vAlign w:val="center"/>
          </w:tcPr>
          <w:p w:rsidR="007642FE" w:rsidRDefault="007642FE" w:rsidP="00F601D0">
            <w:pPr>
              <w:pStyle w:val="SubjectHeading"/>
            </w:pPr>
            <w:r>
              <w:t>Aquatic Practices</w:t>
            </w:r>
          </w:p>
          <w:p w:rsidR="007642FE" w:rsidRPr="00E86C01" w:rsidRDefault="007642FE" w:rsidP="002037BC">
            <w:pPr>
              <w:pStyle w:val="Heading3"/>
              <w:spacing w:before="0" w:after="0"/>
            </w:pPr>
            <w:bookmarkStart w:id="284" w:name="_Toc16163641"/>
            <w:r>
              <w:t>Applied senior subject</w:t>
            </w:r>
            <w:bookmarkEnd w:id="284"/>
          </w:p>
        </w:tc>
        <w:tc>
          <w:tcPr>
            <w:tcW w:w="850" w:type="dxa"/>
            <w:shd w:val="clear" w:color="auto" w:fill="84BD00"/>
            <w:tcMar>
              <w:bottom w:w="28" w:type="dxa"/>
              <w:right w:w="57" w:type="dxa"/>
            </w:tcMar>
            <w:vAlign w:val="bottom"/>
          </w:tcPr>
          <w:p w:rsidR="007642FE" w:rsidRPr="00C423A4" w:rsidRDefault="007642FE" w:rsidP="002037BC">
            <w:pPr>
              <w:pStyle w:val="Heading3"/>
              <w:spacing w:before="0" w:after="100" w:afterAutospacing="1"/>
              <w:jc w:val="right"/>
              <w:rPr>
                <w:color w:val="auto"/>
                <w:sz w:val="17"/>
                <w:szCs w:val="17"/>
              </w:rPr>
            </w:pPr>
            <w:bookmarkStart w:id="285" w:name="_Toc16163642"/>
            <w:r>
              <w:rPr>
                <w:color w:val="auto"/>
                <w:sz w:val="17"/>
                <w:szCs w:val="17"/>
              </w:rPr>
              <w:t>Applied</w:t>
            </w:r>
            <w:bookmarkEnd w:id="285"/>
          </w:p>
        </w:tc>
      </w:tr>
      <w:tr w:rsidR="007642FE" w:rsidRPr="003B6F39" w:rsidTr="002037BC">
        <w:trPr>
          <w:trHeight w:hRule="exact" w:val="113"/>
        </w:trPr>
        <w:tc>
          <w:tcPr>
            <w:tcW w:w="10315" w:type="dxa"/>
            <w:gridSpan w:val="3"/>
            <w:shd w:val="clear" w:color="auto" w:fill="auto"/>
          </w:tcPr>
          <w:p w:rsidR="007642FE" w:rsidRPr="00E86C01" w:rsidRDefault="007642FE" w:rsidP="002037BC">
            <w:pPr>
              <w:pStyle w:val="Smallspace"/>
            </w:pPr>
          </w:p>
        </w:tc>
      </w:tr>
    </w:tbl>
    <w:p w:rsidR="00D34FFF" w:rsidRDefault="00D34FFF" w:rsidP="00042087">
      <w:pPr>
        <w:spacing w:before="120" w:after="120"/>
        <w:rPr>
          <w:noProof/>
        </w:rPr>
        <w:sectPr w:rsidR="00D34FFF" w:rsidSect="00500900">
          <w:headerReference w:type="default" r:id="rId38"/>
          <w:type w:val="continuous"/>
          <w:pgSz w:w="11907" w:h="16840" w:code="9"/>
          <w:pgMar w:top="1134" w:right="1418" w:bottom="1701" w:left="1418" w:header="567" w:footer="284" w:gutter="0"/>
          <w:cols w:space="720"/>
          <w:formProt w:val="0"/>
          <w:noEndnote/>
          <w:docGrid w:linePitch="299"/>
        </w:sectPr>
      </w:pPr>
    </w:p>
    <w:p w:rsidR="00042087" w:rsidRDefault="00042087" w:rsidP="00042087">
      <w:pPr>
        <w:spacing w:before="120" w:after="120"/>
        <w:rPr>
          <w:noProof/>
        </w:rPr>
      </w:pPr>
      <w:r w:rsidRPr="00042087">
        <w:rPr>
          <w:noProof/>
        </w:rPr>
        <w:t xml:space="preserve">Aquatic Practices provides opportunities for students to explore, experience and learn practical skills and knowledge valued in aquatic workplaces and other settings. </w:t>
      </w:r>
    </w:p>
    <w:p w:rsidR="00D34FFF" w:rsidRDefault="00042087" w:rsidP="00042087">
      <w:pPr>
        <w:spacing w:before="120" w:after="120"/>
        <w:rPr>
          <w:noProof/>
        </w:rPr>
      </w:pPr>
      <w:r>
        <w:rPr>
          <w:noProof/>
        </w:rPr>
        <w:t>Students</w:t>
      </w:r>
      <w:r w:rsidR="00D34FFF">
        <w:rPr>
          <w:noProof/>
        </w:rPr>
        <w:t xml:space="preserve"> </w:t>
      </w:r>
      <w:r w:rsidR="00D34FFF" w:rsidRPr="00D34FFF">
        <w:rPr>
          <w:noProof/>
        </w:rPr>
        <w:t xml:space="preserve">gain insight into the management of aquatic regions and their ecological and environmental systems, helping them to position themselves within a long and sustainable tradition of custodianship. </w:t>
      </w:r>
    </w:p>
    <w:p w:rsidR="00D34FFF" w:rsidRDefault="00D34FFF" w:rsidP="00042087">
      <w:pPr>
        <w:spacing w:before="120" w:after="120"/>
        <w:rPr>
          <w:noProof/>
        </w:rPr>
      </w:pPr>
      <w:r>
        <w:rPr>
          <w:noProof/>
        </w:rPr>
        <w:t xml:space="preserve">Students </w:t>
      </w:r>
      <w:r w:rsidRPr="00D34FFF">
        <w:rPr>
          <w:noProof/>
        </w:rPr>
        <w:t>have opportunities to learn in, through and about aquatic workplaces, events and other related activities</w:t>
      </w:r>
      <w:r>
        <w:rPr>
          <w:noProof/>
        </w:rPr>
        <w:t xml:space="preserve">. </w:t>
      </w:r>
      <w:r w:rsidRPr="00D34FFF">
        <w:rPr>
          <w:noProof/>
        </w:rPr>
        <w:t xml:space="preserve">Additional learning links to an understanding of the employment, study and recreational opportunities associated with communities who visit, live or work on and around our waterways. </w:t>
      </w:r>
    </w:p>
    <w:p w:rsidR="00042087" w:rsidRPr="00042087" w:rsidRDefault="00042087" w:rsidP="00042087">
      <w:pPr>
        <w:keepNext/>
        <w:keepLines/>
        <w:spacing w:before="240" w:after="120"/>
        <w:outlineLvl w:val="2"/>
        <w:rPr>
          <w:b/>
          <w:color w:val="6D6F71"/>
          <w:sz w:val="28"/>
          <w:szCs w:val="28"/>
        </w:rPr>
      </w:pPr>
      <w:bookmarkStart w:id="286" w:name="_Toc16163643"/>
      <w:r w:rsidRPr="00042087">
        <w:rPr>
          <w:b/>
          <w:color w:val="6D6F71"/>
          <w:sz w:val="28"/>
          <w:szCs w:val="28"/>
        </w:rPr>
        <w:t>Pathways</w:t>
      </w:r>
      <w:bookmarkEnd w:id="286"/>
    </w:p>
    <w:p w:rsidR="00042087" w:rsidRPr="00042087" w:rsidRDefault="00D34FFF" w:rsidP="00474BE4">
      <w:pPr>
        <w:spacing w:after="120"/>
        <w:rPr>
          <w:b/>
          <w:color w:val="6D6F71"/>
          <w:sz w:val="28"/>
          <w:szCs w:val="28"/>
        </w:rPr>
      </w:pPr>
      <w:r w:rsidRPr="00D34FFF">
        <w:t xml:space="preserve">A course of study in </w:t>
      </w:r>
      <w:bookmarkStart w:id="287" w:name="_Hlk492901400"/>
      <w:r w:rsidRPr="00D34FFF">
        <w:t xml:space="preserve">Aquatic Practices </w:t>
      </w:r>
      <w:bookmarkEnd w:id="287"/>
      <w:r w:rsidRPr="00D34FFF">
        <w:t xml:space="preserve">can establish a basis for further education and employment in the fields of recreation, tourism, fishing and aquaculture. The subject also provides a basis for participating in and contributing to community associations, events and activities, such as yacht and sailing club races and competitions and boating shows. </w:t>
      </w:r>
      <w:r w:rsidR="002A1BF9">
        <w:br w:type="column"/>
      </w:r>
      <w:r w:rsidR="00042087" w:rsidRPr="00042087">
        <w:rPr>
          <w:b/>
          <w:color w:val="6D6F71"/>
          <w:sz w:val="28"/>
          <w:szCs w:val="28"/>
        </w:rPr>
        <w:t>Objectives</w:t>
      </w:r>
    </w:p>
    <w:p w:rsidR="00042087" w:rsidRPr="00042087" w:rsidRDefault="00042087" w:rsidP="00042087">
      <w:pPr>
        <w:spacing w:before="120" w:after="120"/>
        <w:rPr>
          <w:noProof/>
        </w:rPr>
      </w:pPr>
      <w:r w:rsidRPr="00042087">
        <w:rPr>
          <w:noProof/>
        </w:rPr>
        <w:t xml:space="preserve">By the conclusion of the course of study, students should: </w:t>
      </w:r>
    </w:p>
    <w:p w:rsidR="00D34FFF" w:rsidRPr="00D34FFF" w:rsidRDefault="00D34FFF" w:rsidP="00D34FFF">
      <w:pPr>
        <w:pStyle w:val="ListBullet0"/>
      </w:pPr>
      <w:r w:rsidRPr="00D34FFF">
        <w:t xml:space="preserve">describe concepts and ideas in aquatic contexts </w:t>
      </w:r>
    </w:p>
    <w:p w:rsidR="00D34FFF" w:rsidRPr="00D34FFF" w:rsidRDefault="00D34FFF" w:rsidP="00D34FFF">
      <w:pPr>
        <w:pStyle w:val="ListBullet0"/>
      </w:pPr>
      <w:r w:rsidRPr="00D34FFF">
        <w:t xml:space="preserve">explain concepts and ideas in aquatic contexts </w:t>
      </w:r>
    </w:p>
    <w:p w:rsidR="00D34FFF" w:rsidRPr="00D34FFF" w:rsidRDefault="00D34FFF" w:rsidP="00D34FFF">
      <w:pPr>
        <w:pStyle w:val="ListBullet0"/>
      </w:pPr>
      <w:r w:rsidRPr="00D34FFF">
        <w:t xml:space="preserve">demonstrate skills in aquatic contexts </w:t>
      </w:r>
    </w:p>
    <w:p w:rsidR="00D34FFF" w:rsidRPr="00D34FFF" w:rsidRDefault="00D34FFF" w:rsidP="00D34FFF">
      <w:pPr>
        <w:pStyle w:val="ListBullet0"/>
      </w:pPr>
      <w:r w:rsidRPr="00D34FFF">
        <w:t xml:space="preserve">analyse information, situations and relationships in aquatic contexts </w:t>
      </w:r>
    </w:p>
    <w:p w:rsidR="00D34FFF" w:rsidRPr="00D34FFF" w:rsidRDefault="00D34FFF" w:rsidP="00D34FFF">
      <w:pPr>
        <w:pStyle w:val="ListBullet0"/>
      </w:pPr>
      <w:r w:rsidRPr="00D34FFF">
        <w:t xml:space="preserve">apply knowledge, understanding and skills in aquatic contexts </w:t>
      </w:r>
    </w:p>
    <w:p w:rsidR="00D34FFF" w:rsidRPr="00D34FFF" w:rsidRDefault="00D34FFF" w:rsidP="00D34FFF">
      <w:pPr>
        <w:pStyle w:val="ListBullet0"/>
      </w:pPr>
      <w:r w:rsidRPr="00D34FFF">
        <w:t xml:space="preserve">use language conventions and features appropriate to aquatic contexts to communicate ideas and information, according to purpose </w:t>
      </w:r>
    </w:p>
    <w:p w:rsidR="00D34FFF" w:rsidRPr="00D34FFF" w:rsidRDefault="00D34FFF" w:rsidP="00D34FFF">
      <w:pPr>
        <w:pStyle w:val="ListBullet0"/>
      </w:pPr>
      <w:r w:rsidRPr="00D34FFF">
        <w:t xml:space="preserve">generate plans and procedures for activities in aquatic contexts </w:t>
      </w:r>
    </w:p>
    <w:p w:rsidR="00D34FFF" w:rsidRPr="00D34FFF" w:rsidRDefault="00D34FFF" w:rsidP="00D34FFF">
      <w:pPr>
        <w:pStyle w:val="ListBullet0"/>
      </w:pPr>
      <w:r w:rsidRPr="00D34FFF">
        <w:t>evaluate the safety and effectiveness of activities in aquatic contexts</w:t>
      </w:r>
    </w:p>
    <w:p w:rsidR="00042087" w:rsidRPr="00D34FFF" w:rsidRDefault="00D34FFF" w:rsidP="00D34FFF">
      <w:pPr>
        <w:pStyle w:val="ListBullet0"/>
        <w:sectPr w:rsidR="00042087" w:rsidRPr="00D34FFF" w:rsidSect="00500900">
          <w:type w:val="continuous"/>
          <w:pgSz w:w="11907" w:h="16840" w:code="9"/>
          <w:pgMar w:top="1134" w:right="1418" w:bottom="1701" w:left="1418" w:header="567" w:footer="284" w:gutter="0"/>
          <w:cols w:num="2" w:space="720"/>
          <w:formProt w:val="0"/>
          <w:noEndnote/>
          <w:docGrid w:linePitch="299"/>
        </w:sectPr>
      </w:pPr>
      <w:r w:rsidRPr="00D34FFF">
        <w:t xml:space="preserve">make recommendations for activities in aquatic contexts. </w:t>
      </w:r>
    </w:p>
    <w:p w:rsidR="00D51098" w:rsidRPr="00D51098" w:rsidRDefault="00D51098" w:rsidP="00D51098"/>
    <w:p w:rsidR="00042087" w:rsidRPr="00042087" w:rsidRDefault="00042087" w:rsidP="00042087">
      <w:pPr>
        <w:keepNext/>
        <w:keepLines/>
        <w:spacing w:before="240" w:after="120"/>
        <w:outlineLvl w:val="2"/>
        <w:rPr>
          <w:b/>
          <w:color w:val="6D6F71"/>
          <w:sz w:val="28"/>
          <w:szCs w:val="28"/>
        </w:rPr>
      </w:pPr>
      <w:bookmarkStart w:id="288" w:name="_Toc16163644"/>
      <w:r w:rsidRPr="00042087">
        <w:rPr>
          <w:b/>
          <w:color w:val="6D6F71"/>
          <w:sz w:val="28"/>
          <w:szCs w:val="28"/>
        </w:rPr>
        <w:t>Structure</w:t>
      </w:r>
      <w:bookmarkEnd w:id="288"/>
    </w:p>
    <w:p w:rsidR="00474BE4" w:rsidRDefault="00655003" w:rsidP="00042087">
      <w:pPr>
        <w:spacing w:after="120"/>
      </w:pPr>
      <w:r>
        <w:t xml:space="preserve">The </w:t>
      </w:r>
      <w:r w:rsidR="00D34FFF" w:rsidRPr="00D34FFF">
        <w:t xml:space="preserve">Aquatic Practices </w:t>
      </w:r>
      <w:r>
        <w:t xml:space="preserve">course </w:t>
      </w:r>
      <w:r w:rsidR="00042087" w:rsidRPr="00042087">
        <w:t>is designed around</w:t>
      </w:r>
      <w:r w:rsidR="00474BE4">
        <w:t>:</w:t>
      </w:r>
    </w:p>
    <w:p w:rsidR="00474BE4" w:rsidRDefault="004A30E5" w:rsidP="002D4C68">
      <w:pPr>
        <w:pStyle w:val="ListBullet0"/>
      </w:pPr>
      <w:r>
        <w:t xml:space="preserve">the four areas of study </w:t>
      </w:r>
      <w:r w:rsidR="00F73C04">
        <w:t xml:space="preserve">with the </w:t>
      </w:r>
      <w:r w:rsidR="00474BE4" w:rsidRPr="00474BE4">
        <w:t xml:space="preserve">core topics for ‘Safety and management practices’ embedded in each of the four areas of study </w:t>
      </w:r>
    </w:p>
    <w:p w:rsidR="00042087" w:rsidRDefault="00474BE4" w:rsidP="00474BE4">
      <w:pPr>
        <w:pStyle w:val="ListBullet0"/>
      </w:pPr>
      <w:r>
        <w:t xml:space="preserve">schools </w:t>
      </w:r>
      <w:r w:rsidRPr="00474BE4">
        <w:t>determin</w:t>
      </w:r>
      <w:r w:rsidR="004B745F">
        <w:t>e</w:t>
      </w:r>
      <w:r>
        <w:t xml:space="preserve"> </w:t>
      </w:r>
      <w:r w:rsidRPr="00474BE4">
        <w:t>whether to include elective</w:t>
      </w:r>
      <w:r w:rsidR="004B745F">
        <w:t xml:space="preserve"> topic</w:t>
      </w:r>
      <w:r w:rsidRPr="00474BE4">
        <w:t>s in a course of study.</w:t>
      </w:r>
    </w:p>
    <w:tbl>
      <w:tblPr>
        <w:tblStyle w:val="QCAAtablestyle1"/>
        <w:tblW w:w="0" w:type="auto"/>
        <w:tblLook w:val="04A0" w:firstRow="1" w:lastRow="0" w:firstColumn="1" w:lastColumn="0" w:noHBand="0" w:noVBand="1"/>
      </w:tblPr>
      <w:tblGrid>
        <w:gridCol w:w="2368"/>
        <w:gridCol w:w="3714"/>
        <w:gridCol w:w="2866"/>
      </w:tblGrid>
      <w:tr w:rsidR="002F7819" w:rsidTr="004A30E5">
        <w:trPr>
          <w:cnfStyle w:val="100000000000" w:firstRow="1" w:lastRow="0" w:firstColumn="0" w:lastColumn="0" w:oddVBand="0" w:evenVBand="0" w:oddHBand="0" w:evenHBand="0" w:firstRowFirstColumn="0" w:firstRowLastColumn="0" w:lastRowFirstColumn="0" w:lastRowLastColumn="0"/>
          <w:cantSplit/>
          <w:tblHeader/>
        </w:trPr>
        <w:tc>
          <w:tcPr>
            <w:tcW w:w="0" w:type="auto"/>
          </w:tcPr>
          <w:p w:rsidR="002F7819" w:rsidRDefault="002F7819" w:rsidP="004A30E5">
            <w:pPr>
              <w:pStyle w:val="TableHeading0"/>
            </w:pPr>
            <w:r>
              <w:t>Areas of study</w:t>
            </w:r>
          </w:p>
        </w:tc>
        <w:tc>
          <w:tcPr>
            <w:tcW w:w="0" w:type="auto"/>
          </w:tcPr>
          <w:p w:rsidR="002F7819" w:rsidRDefault="002F7819" w:rsidP="004A30E5">
            <w:pPr>
              <w:pStyle w:val="TableHeading0"/>
            </w:pPr>
            <w:r>
              <w:t>Core topics</w:t>
            </w:r>
          </w:p>
        </w:tc>
        <w:tc>
          <w:tcPr>
            <w:tcW w:w="0" w:type="auto"/>
          </w:tcPr>
          <w:p w:rsidR="002F7819" w:rsidRDefault="002F7819" w:rsidP="004A30E5">
            <w:pPr>
              <w:pStyle w:val="TableHeading0"/>
            </w:pPr>
            <w:r>
              <w:t>Elective topics</w:t>
            </w:r>
          </w:p>
        </w:tc>
      </w:tr>
      <w:tr w:rsidR="002F7819" w:rsidTr="004A30E5">
        <w:trPr>
          <w:cantSplit/>
        </w:trPr>
        <w:tc>
          <w:tcPr>
            <w:tcW w:w="0" w:type="auto"/>
          </w:tcPr>
          <w:p w:rsidR="002F7819" w:rsidRDefault="002F7819" w:rsidP="004A30E5">
            <w:pPr>
              <w:pStyle w:val="TableText0"/>
            </w:pPr>
            <w:r>
              <w:t>Environmental</w:t>
            </w:r>
          </w:p>
        </w:tc>
        <w:tc>
          <w:tcPr>
            <w:tcW w:w="0" w:type="auto"/>
          </w:tcPr>
          <w:p w:rsidR="002F7819" w:rsidRDefault="002F7819" w:rsidP="004A30E5">
            <w:pPr>
              <w:pStyle w:val="TableBullet"/>
            </w:pPr>
            <w:r>
              <w:t>Environmental conditions</w:t>
            </w:r>
          </w:p>
          <w:p w:rsidR="002F7819" w:rsidRDefault="002F7819" w:rsidP="004A30E5">
            <w:pPr>
              <w:pStyle w:val="TableBullet"/>
            </w:pPr>
            <w:r>
              <w:t>Ecosystems</w:t>
            </w:r>
          </w:p>
          <w:p w:rsidR="002F7819" w:rsidRDefault="002F7819" w:rsidP="004A30E5">
            <w:pPr>
              <w:pStyle w:val="TableBullet"/>
            </w:pPr>
            <w:r>
              <w:t>Conservation and sustainability</w:t>
            </w:r>
          </w:p>
        </w:tc>
        <w:tc>
          <w:tcPr>
            <w:tcW w:w="0" w:type="auto"/>
          </w:tcPr>
          <w:p w:rsidR="002F7819" w:rsidRDefault="002F7819" w:rsidP="004A30E5">
            <w:pPr>
              <w:pStyle w:val="TableBullet"/>
            </w:pPr>
            <w:r w:rsidRPr="00F73C04">
              <w:t>Citizen science</w:t>
            </w:r>
          </w:p>
        </w:tc>
      </w:tr>
      <w:tr w:rsidR="002F7819" w:rsidTr="004A30E5">
        <w:trPr>
          <w:cantSplit/>
        </w:trPr>
        <w:tc>
          <w:tcPr>
            <w:tcW w:w="0" w:type="auto"/>
          </w:tcPr>
          <w:p w:rsidR="002F7819" w:rsidRDefault="002F7819" w:rsidP="004A30E5">
            <w:pPr>
              <w:pStyle w:val="TableText0"/>
            </w:pPr>
            <w:r>
              <w:t>Recreational</w:t>
            </w:r>
          </w:p>
        </w:tc>
        <w:tc>
          <w:tcPr>
            <w:tcW w:w="0" w:type="auto"/>
          </w:tcPr>
          <w:p w:rsidR="002F7819" w:rsidRDefault="002F7819" w:rsidP="004A30E5">
            <w:pPr>
              <w:pStyle w:val="TableBullet"/>
            </w:pPr>
            <w:r w:rsidRPr="00F73C04">
              <w:t>Entering the aquatic environment</w:t>
            </w:r>
          </w:p>
        </w:tc>
        <w:tc>
          <w:tcPr>
            <w:tcW w:w="0" w:type="auto"/>
          </w:tcPr>
          <w:p w:rsidR="002F7819" w:rsidRDefault="002F7819" w:rsidP="004A30E5">
            <w:pPr>
              <w:pStyle w:val="TableBullet"/>
            </w:pPr>
            <w:r w:rsidRPr="00F73C04">
              <w:t>Aquatic activities</w:t>
            </w:r>
          </w:p>
        </w:tc>
      </w:tr>
      <w:tr w:rsidR="002F7819" w:rsidTr="004A30E5">
        <w:trPr>
          <w:cantSplit/>
        </w:trPr>
        <w:tc>
          <w:tcPr>
            <w:tcW w:w="0" w:type="auto"/>
          </w:tcPr>
          <w:p w:rsidR="002F7819" w:rsidRDefault="002F7819" w:rsidP="004A30E5">
            <w:pPr>
              <w:pStyle w:val="TableText0"/>
            </w:pPr>
            <w:r>
              <w:t>Commercial</w:t>
            </w:r>
          </w:p>
        </w:tc>
        <w:tc>
          <w:tcPr>
            <w:tcW w:w="0" w:type="auto"/>
          </w:tcPr>
          <w:p w:rsidR="002F7819" w:rsidRDefault="002F7819" w:rsidP="004A30E5">
            <w:pPr>
              <w:pStyle w:val="TableBullet"/>
            </w:pPr>
            <w:r w:rsidRPr="00F73C04">
              <w:t>Employment</w:t>
            </w:r>
          </w:p>
        </w:tc>
        <w:tc>
          <w:tcPr>
            <w:tcW w:w="0" w:type="auto"/>
          </w:tcPr>
          <w:p w:rsidR="002F7819" w:rsidRPr="00F73C04" w:rsidRDefault="002F7819" w:rsidP="004A30E5">
            <w:pPr>
              <w:pStyle w:val="TableBullet"/>
            </w:pPr>
            <w:r w:rsidRPr="00F73C04">
              <w:t>Aquaculture, aquaponics and aquariums</w:t>
            </w:r>
          </w:p>
          <w:p w:rsidR="002F7819" w:rsidRDefault="002F7819" w:rsidP="004A30E5">
            <w:pPr>
              <w:pStyle w:val="TableBullet"/>
            </w:pPr>
            <w:r w:rsidRPr="00F73C04">
              <w:t>Boat building and marine engineering</w:t>
            </w:r>
          </w:p>
        </w:tc>
      </w:tr>
      <w:tr w:rsidR="002F7819" w:rsidTr="004A30E5">
        <w:trPr>
          <w:cantSplit/>
        </w:trPr>
        <w:tc>
          <w:tcPr>
            <w:tcW w:w="0" w:type="auto"/>
          </w:tcPr>
          <w:p w:rsidR="002F7819" w:rsidRDefault="002F7819" w:rsidP="004A30E5">
            <w:pPr>
              <w:pStyle w:val="TableText0"/>
            </w:pPr>
            <w:r>
              <w:t>Cultural</w:t>
            </w:r>
          </w:p>
        </w:tc>
        <w:tc>
          <w:tcPr>
            <w:tcW w:w="0" w:type="auto"/>
          </w:tcPr>
          <w:p w:rsidR="002F7819" w:rsidRDefault="002F7819" w:rsidP="004A30E5">
            <w:pPr>
              <w:pStyle w:val="TableBullet"/>
            </w:pPr>
            <w:r w:rsidRPr="00F73C04">
              <w:t>Cultural understandings</w:t>
            </w:r>
          </w:p>
        </w:tc>
        <w:tc>
          <w:tcPr>
            <w:tcW w:w="0" w:type="auto"/>
          </w:tcPr>
          <w:p w:rsidR="002F7819" w:rsidRDefault="004A30E5" w:rsidP="004A30E5">
            <w:pPr>
              <w:pStyle w:val="TableBullet"/>
            </w:pPr>
            <w:r w:rsidRPr="00F73C04">
              <w:t>Historical understandings</w:t>
            </w:r>
          </w:p>
        </w:tc>
      </w:tr>
      <w:tr w:rsidR="002F7819" w:rsidTr="004A30E5">
        <w:trPr>
          <w:cantSplit/>
        </w:trPr>
        <w:tc>
          <w:tcPr>
            <w:tcW w:w="0" w:type="auto"/>
          </w:tcPr>
          <w:p w:rsidR="002F7819" w:rsidRDefault="002F7819" w:rsidP="004A30E5">
            <w:pPr>
              <w:pStyle w:val="TableText0"/>
            </w:pPr>
            <w:r>
              <w:t>Safety and management practices</w:t>
            </w:r>
          </w:p>
        </w:tc>
        <w:tc>
          <w:tcPr>
            <w:tcW w:w="0" w:type="auto"/>
          </w:tcPr>
          <w:p w:rsidR="004A30E5" w:rsidRDefault="004A30E5" w:rsidP="004A30E5">
            <w:pPr>
              <w:pStyle w:val="TableBullet"/>
            </w:pPr>
            <w:r>
              <w:t xml:space="preserve">Legislation, rules and regulations for aquatic environments </w:t>
            </w:r>
          </w:p>
          <w:p w:rsidR="004A30E5" w:rsidRDefault="004A30E5" w:rsidP="004A30E5">
            <w:pPr>
              <w:pStyle w:val="TableBullet"/>
            </w:pPr>
            <w:r>
              <w:t xml:space="preserve">Equipment maintenance and operations </w:t>
            </w:r>
          </w:p>
          <w:p w:rsidR="004A30E5" w:rsidRDefault="004A30E5" w:rsidP="004A30E5">
            <w:pPr>
              <w:pStyle w:val="TableBullet"/>
            </w:pPr>
            <w:r>
              <w:t xml:space="preserve">First aid and safety </w:t>
            </w:r>
          </w:p>
          <w:p w:rsidR="002F7819" w:rsidRDefault="004A30E5" w:rsidP="004A30E5">
            <w:pPr>
              <w:pStyle w:val="TableBullet"/>
            </w:pPr>
            <w:r>
              <w:t>Management practices</w:t>
            </w:r>
          </w:p>
        </w:tc>
        <w:tc>
          <w:tcPr>
            <w:tcW w:w="0" w:type="auto"/>
          </w:tcPr>
          <w:p w:rsidR="002F7819" w:rsidRPr="0088773C" w:rsidRDefault="0088773C" w:rsidP="0088773C">
            <w:r>
              <w:t>—</w:t>
            </w:r>
          </w:p>
        </w:tc>
      </w:tr>
    </w:tbl>
    <w:p w:rsidR="00042087" w:rsidRPr="00042087" w:rsidRDefault="00042087" w:rsidP="00243FCB">
      <w:pPr>
        <w:pStyle w:val="Heading3"/>
      </w:pPr>
      <w:bookmarkStart w:id="289" w:name="_Toc16163645"/>
      <w:r w:rsidRPr="00042087">
        <w:t>Assessment</w:t>
      </w:r>
      <w:bookmarkEnd w:id="289"/>
    </w:p>
    <w:p w:rsidR="00042087" w:rsidRPr="00042087" w:rsidRDefault="00FE2D66" w:rsidP="008C3C06">
      <w:pPr>
        <w:spacing w:before="120" w:after="120"/>
      </w:pPr>
      <w:r w:rsidRPr="00042087">
        <w:rPr>
          <w:noProof/>
        </w:rPr>
        <w:t>For A</w:t>
      </w:r>
      <w:r>
        <w:rPr>
          <w:noProof/>
        </w:rPr>
        <w:t xml:space="preserve">quatic </w:t>
      </w:r>
      <w:r w:rsidRPr="00042087">
        <w:rPr>
          <w:noProof/>
        </w:rPr>
        <w:t xml:space="preserve">Practices, </w:t>
      </w:r>
      <w:r>
        <w:rPr>
          <w:noProof/>
        </w:rPr>
        <w:t>a</w:t>
      </w:r>
      <w:r w:rsidR="00042087" w:rsidRPr="00042087">
        <w:rPr>
          <w:noProof/>
        </w:rPr>
        <w:t>ssessment from Units 3 and 4 is used to determine the student’s exit res</w:t>
      </w:r>
      <w:r>
        <w:rPr>
          <w:noProof/>
        </w:rPr>
        <w:t xml:space="preserve">ult, and </w:t>
      </w:r>
      <w:r w:rsidR="00042087" w:rsidRPr="00042087">
        <w:rPr>
          <w:noProof/>
        </w:rPr>
        <w:t>consists of four instruments</w:t>
      </w:r>
      <w:r>
        <w:rPr>
          <w:noProof/>
        </w:rPr>
        <w:t>,</w:t>
      </w:r>
      <w:r w:rsidR="00341E42">
        <w:rPr>
          <w:noProof/>
        </w:rPr>
        <w:t xml:space="preserve"> incl</w:t>
      </w:r>
      <w:r w:rsidR="00B924CE">
        <w:rPr>
          <w:noProof/>
        </w:rPr>
        <w:t>u</w:t>
      </w:r>
      <w:r w:rsidR="00341E42">
        <w:rPr>
          <w:noProof/>
        </w:rPr>
        <w:t>ding</w:t>
      </w:r>
      <w:r w:rsidR="00341E42">
        <w:t xml:space="preserve"> </w:t>
      </w:r>
      <w:r w:rsidR="00042087" w:rsidRPr="00042087">
        <w:t>no more than two assessment instruments from any one technique.</w:t>
      </w:r>
    </w:p>
    <w:tbl>
      <w:tblPr>
        <w:tblStyle w:val="QCAAtablestyle1"/>
        <w:tblW w:w="4900" w:type="pct"/>
        <w:tblLayout w:type="fixed"/>
        <w:tblLook w:val="04A0" w:firstRow="1" w:lastRow="0" w:firstColumn="1" w:lastColumn="0" w:noHBand="0" w:noVBand="1"/>
      </w:tblPr>
      <w:tblGrid>
        <w:gridCol w:w="1805"/>
        <w:gridCol w:w="1944"/>
        <w:gridCol w:w="1943"/>
        <w:gridCol w:w="1390"/>
        <w:gridCol w:w="1798"/>
      </w:tblGrid>
      <w:tr w:rsidR="00042AA1" w:rsidRPr="00042087" w:rsidTr="00E26865">
        <w:trPr>
          <w:cnfStyle w:val="100000000000" w:firstRow="1" w:lastRow="0" w:firstColumn="0" w:lastColumn="0" w:oddVBand="0" w:evenVBand="0" w:oddHBand="0" w:evenHBand="0" w:firstRowFirstColumn="0" w:firstRowLastColumn="0" w:lastRowFirstColumn="0" w:lastRowLastColumn="0"/>
        </w:trPr>
        <w:tc>
          <w:tcPr>
            <w:tcW w:w="1843" w:type="dxa"/>
          </w:tcPr>
          <w:p w:rsidR="00042AA1" w:rsidRPr="00243FCB" w:rsidRDefault="00FE2D66" w:rsidP="00243FCB">
            <w:pPr>
              <w:pStyle w:val="Tableheading"/>
            </w:pPr>
            <w:r>
              <w:t xml:space="preserve">Project </w:t>
            </w:r>
          </w:p>
        </w:tc>
        <w:tc>
          <w:tcPr>
            <w:tcW w:w="1985" w:type="dxa"/>
          </w:tcPr>
          <w:p w:rsidR="00042AA1" w:rsidRPr="00243FCB" w:rsidRDefault="00FE2D66" w:rsidP="00243FCB">
            <w:pPr>
              <w:pStyle w:val="Tableheading"/>
            </w:pPr>
            <w:r>
              <w:t>Investigation</w:t>
            </w:r>
          </w:p>
        </w:tc>
        <w:tc>
          <w:tcPr>
            <w:tcW w:w="1984" w:type="dxa"/>
          </w:tcPr>
          <w:p w:rsidR="00042AA1" w:rsidRPr="00243FCB" w:rsidRDefault="00042AA1" w:rsidP="00243FCB">
            <w:pPr>
              <w:pStyle w:val="Tableheading"/>
            </w:pPr>
            <w:r w:rsidRPr="00243FCB">
              <w:t>Extended response</w:t>
            </w:r>
          </w:p>
        </w:tc>
        <w:tc>
          <w:tcPr>
            <w:tcW w:w="1418" w:type="dxa"/>
          </w:tcPr>
          <w:p w:rsidR="00042AA1" w:rsidRPr="00243FCB" w:rsidRDefault="00FE2D66" w:rsidP="00243FCB">
            <w:pPr>
              <w:pStyle w:val="Tableheading"/>
            </w:pPr>
            <w:r>
              <w:t>Examination</w:t>
            </w:r>
          </w:p>
        </w:tc>
        <w:tc>
          <w:tcPr>
            <w:tcW w:w="1836" w:type="dxa"/>
          </w:tcPr>
          <w:p w:rsidR="00042AA1" w:rsidRPr="00243FCB" w:rsidRDefault="00042AA1" w:rsidP="00243FCB">
            <w:pPr>
              <w:pStyle w:val="Tableheading"/>
            </w:pPr>
            <w:r w:rsidRPr="00243FCB">
              <w:t>Performance</w:t>
            </w:r>
          </w:p>
        </w:tc>
      </w:tr>
      <w:tr w:rsidR="00042AA1" w:rsidRPr="00042087" w:rsidTr="00E26865">
        <w:tc>
          <w:tcPr>
            <w:tcW w:w="1843" w:type="dxa"/>
          </w:tcPr>
          <w:p w:rsidR="00042AA1" w:rsidRPr="00042087" w:rsidRDefault="00042AA1" w:rsidP="00042AA1">
            <w:pPr>
              <w:pStyle w:val="Tabletext"/>
            </w:pPr>
            <w:r w:rsidRPr="00042087">
              <w:t>A response to a single task, situation and/or scenario.</w:t>
            </w:r>
          </w:p>
        </w:tc>
        <w:tc>
          <w:tcPr>
            <w:tcW w:w="1985" w:type="dxa"/>
          </w:tcPr>
          <w:p w:rsidR="00042AA1" w:rsidRPr="00042087" w:rsidRDefault="00042AA1" w:rsidP="00042AA1">
            <w:pPr>
              <w:pStyle w:val="Tabletext"/>
            </w:pPr>
            <w:r w:rsidRPr="00042087">
              <w:t>A response that includes locating and using information beyond students’ own knowledge and the data they have been given.</w:t>
            </w:r>
          </w:p>
        </w:tc>
        <w:tc>
          <w:tcPr>
            <w:tcW w:w="1984" w:type="dxa"/>
          </w:tcPr>
          <w:p w:rsidR="00042AA1" w:rsidRPr="00042087" w:rsidRDefault="00042AA1" w:rsidP="00042AA1">
            <w:pPr>
              <w:pStyle w:val="Tabletext"/>
            </w:pPr>
            <w:r w:rsidRPr="00042087">
              <w:t xml:space="preserve">A </w:t>
            </w:r>
            <w:r w:rsidR="00570F76">
              <w:t>technique that assesses</w:t>
            </w:r>
            <w:r w:rsidRPr="00042087">
              <w:t xml:space="preserve"> the interpretation, analysis/examination and/or evaluation of ideas and information in provided stimulus materials.</w:t>
            </w:r>
          </w:p>
        </w:tc>
        <w:tc>
          <w:tcPr>
            <w:tcW w:w="1418" w:type="dxa"/>
          </w:tcPr>
          <w:p w:rsidR="00042AA1" w:rsidRPr="00042087" w:rsidRDefault="00042AA1" w:rsidP="00042AA1">
            <w:pPr>
              <w:pStyle w:val="Tabletext"/>
            </w:pPr>
            <w:r w:rsidRPr="00042087">
              <w:t>A response that answers a number of provided questions, scenarios and/or problems.</w:t>
            </w:r>
          </w:p>
        </w:tc>
        <w:tc>
          <w:tcPr>
            <w:tcW w:w="1836" w:type="dxa"/>
          </w:tcPr>
          <w:p w:rsidR="00042AA1" w:rsidRPr="00042087" w:rsidRDefault="00042AA1" w:rsidP="00042AA1">
            <w:pPr>
              <w:pStyle w:val="Tabletext"/>
            </w:pPr>
            <w:r>
              <w:t xml:space="preserve">A </w:t>
            </w:r>
            <w:r w:rsidR="00570F76">
              <w:t>technique that assesses</w:t>
            </w:r>
            <w:r>
              <w:t xml:space="preserve"> physical demonstrations as outcomes of applying a range of cognitive, technical and physical skills. </w:t>
            </w:r>
          </w:p>
        </w:tc>
      </w:tr>
      <w:tr w:rsidR="00042AA1" w:rsidRPr="00042087" w:rsidTr="00E26865">
        <w:tc>
          <w:tcPr>
            <w:tcW w:w="1843" w:type="dxa"/>
          </w:tcPr>
          <w:p w:rsidR="00042AA1" w:rsidRPr="00042087" w:rsidRDefault="00042AA1" w:rsidP="00F73C04">
            <w:pPr>
              <w:pStyle w:val="Tabletext"/>
            </w:pPr>
            <w:r w:rsidRPr="00042087">
              <w:t>At least two different components from the following:</w:t>
            </w:r>
          </w:p>
          <w:p w:rsidR="00042AA1" w:rsidRPr="00042087" w:rsidRDefault="00977E8D" w:rsidP="00F73C04">
            <w:pPr>
              <w:pStyle w:val="TableBullet"/>
            </w:pPr>
            <w:r>
              <w:t>w</w:t>
            </w:r>
            <w:r w:rsidR="00042AA1" w:rsidRPr="00042087">
              <w:t>ritten: 500–900 words</w:t>
            </w:r>
          </w:p>
          <w:p w:rsidR="00042AA1" w:rsidRPr="00042087" w:rsidRDefault="00977E8D" w:rsidP="00F73C04">
            <w:pPr>
              <w:pStyle w:val="TableBullet"/>
            </w:pPr>
            <w:r>
              <w:t>s</w:t>
            </w:r>
            <w:r w:rsidR="00042AA1" w:rsidRPr="00042087">
              <w:t>poken: 2½–3½ minutes</w:t>
            </w:r>
          </w:p>
          <w:p w:rsidR="00042AA1" w:rsidRPr="00042087" w:rsidRDefault="00977E8D" w:rsidP="00F73C04">
            <w:pPr>
              <w:pStyle w:val="TableBullet"/>
            </w:pPr>
            <w:r>
              <w:t>m</w:t>
            </w:r>
            <w:r w:rsidR="00042AA1" w:rsidRPr="00042087">
              <w:t>ultimodal: 3–6 minutes</w:t>
            </w:r>
          </w:p>
          <w:p w:rsidR="00042AA1" w:rsidRDefault="00977E8D" w:rsidP="00F73C04">
            <w:pPr>
              <w:pStyle w:val="TableBullet"/>
            </w:pPr>
            <w:r>
              <w:t>p</w:t>
            </w:r>
            <w:r w:rsidR="00042AA1" w:rsidRPr="00042087">
              <w:t>erformance: continuous class time</w:t>
            </w:r>
          </w:p>
          <w:p w:rsidR="00042AA1" w:rsidRPr="00042087" w:rsidRDefault="00977E8D" w:rsidP="00042AA1">
            <w:pPr>
              <w:pStyle w:val="TableBullet"/>
            </w:pPr>
            <w:r>
              <w:t>p</w:t>
            </w:r>
            <w:r w:rsidR="00042AA1">
              <w:t xml:space="preserve">roduct: </w:t>
            </w:r>
            <w:r w:rsidR="00042AA1" w:rsidRPr="00042AA1">
              <w:t>continuous class time</w:t>
            </w:r>
            <w:r w:rsidR="00042AA1" w:rsidRPr="00042087">
              <w:t>.</w:t>
            </w:r>
          </w:p>
        </w:tc>
        <w:tc>
          <w:tcPr>
            <w:tcW w:w="1985" w:type="dxa"/>
          </w:tcPr>
          <w:p w:rsidR="00EF321E" w:rsidRDefault="00EF321E" w:rsidP="008C3C06">
            <w:pPr>
              <w:pStyle w:val="TableText0"/>
            </w:pPr>
            <w:r w:rsidRPr="00EF321E">
              <w:t>Presented in one of the following modes:</w:t>
            </w:r>
          </w:p>
          <w:p w:rsidR="00042AA1" w:rsidRPr="00042087" w:rsidRDefault="00977E8D" w:rsidP="00F73C04">
            <w:pPr>
              <w:pStyle w:val="TableBullet"/>
            </w:pPr>
            <w:r>
              <w:t>w</w:t>
            </w:r>
            <w:r w:rsidR="00042AA1" w:rsidRPr="00042087">
              <w:t>ritten: 600–1000 words</w:t>
            </w:r>
          </w:p>
          <w:p w:rsidR="00042AA1" w:rsidRPr="00042087" w:rsidRDefault="00977E8D" w:rsidP="00F73C04">
            <w:pPr>
              <w:pStyle w:val="TableBullet"/>
            </w:pPr>
            <w:r>
              <w:t>s</w:t>
            </w:r>
            <w:r w:rsidR="00042AA1" w:rsidRPr="00042087">
              <w:t>poken: 3–4 minutes</w:t>
            </w:r>
          </w:p>
          <w:p w:rsidR="00042AA1" w:rsidRPr="00042087" w:rsidRDefault="00977E8D" w:rsidP="00F73C04">
            <w:pPr>
              <w:pStyle w:val="TableBullet"/>
            </w:pPr>
            <w:r>
              <w:t>m</w:t>
            </w:r>
            <w:r w:rsidR="00042AA1" w:rsidRPr="00042087">
              <w:t>ultimodal: 4–7 minutes</w:t>
            </w:r>
            <w:r w:rsidR="00EF321E">
              <w:t>.</w:t>
            </w:r>
          </w:p>
        </w:tc>
        <w:tc>
          <w:tcPr>
            <w:tcW w:w="1984" w:type="dxa"/>
          </w:tcPr>
          <w:p w:rsidR="00EF321E" w:rsidRDefault="00EF321E" w:rsidP="008C3C06">
            <w:pPr>
              <w:pStyle w:val="TableText0"/>
            </w:pPr>
            <w:r w:rsidRPr="00EF321E">
              <w:t>Presented in one of the following modes:</w:t>
            </w:r>
          </w:p>
          <w:p w:rsidR="00042AA1" w:rsidRPr="00042087" w:rsidRDefault="00977E8D" w:rsidP="00F73C04">
            <w:pPr>
              <w:pStyle w:val="TableBullet"/>
            </w:pPr>
            <w:r>
              <w:t>w</w:t>
            </w:r>
            <w:r w:rsidR="00042AA1" w:rsidRPr="00042087">
              <w:t>ritten: 600</w:t>
            </w:r>
            <w:r w:rsidR="007B4467">
              <w:t>–</w:t>
            </w:r>
            <w:r w:rsidR="00042AA1" w:rsidRPr="00042087">
              <w:t>1000 words</w:t>
            </w:r>
          </w:p>
          <w:p w:rsidR="00042AA1" w:rsidRPr="00042087" w:rsidRDefault="00977E8D" w:rsidP="00AE258E">
            <w:pPr>
              <w:pStyle w:val="TableBullet"/>
            </w:pPr>
            <w:r>
              <w:t>s</w:t>
            </w:r>
            <w:r w:rsidR="00042AA1" w:rsidRPr="00042087">
              <w:t>poken: 3–4 minutes</w:t>
            </w:r>
          </w:p>
          <w:p w:rsidR="00042AA1" w:rsidRPr="00042087" w:rsidRDefault="00977E8D" w:rsidP="00F73C04">
            <w:pPr>
              <w:pStyle w:val="TableBullet"/>
            </w:pPr>
            <w:r>
              <w:t>m</w:t>
            </w:r>
            <w:r w:rsidR="00042AA1" w:rsidRPr="00042087">
              <w:t>ultimodal: 4</w:t>
            </w:r>
            <w:r w:rsidR="00EF321E">
              <w:t>–</w:t>
            </w:r>
            <w:r w:rsidR="00042AA1" w:rsidRPr="00042087">
              <w:t>7 minutes</w:t>
            </w:r>
            <w:r w:rsidR="00EF321E">
              <w:t>.</w:t>
            </w:r>
          </w:p>
        </w:tc>
        <w:tc>
          <w:tcPr>
            <w:tcW w:w="1418" w:type="dxa"/>
          </w:tcPr>
          <w:p w:rsidR="00042AA1" w:rsidRPr="00042087" w:rsidRDefault="00042AA1" w:rsidP="00F73C04">
            <w:pPr>
              <w:pStyle w:val="TableBullet"/>
            </w:pPr>
            <w:r w:rsidRPr="00042087">
              <w:t>60–90 minutes</w:t>
            </w:r>
          </w:p>
          <w:p w:rsidR="00042AA1" w:rsidRPr="00042087" w:rsidRDefault="00042AA1" w:rsidP="00F73C04">
            <w:pPr>
              <w:pStyle w:val="TableBullet"/>
            </w:pPr>
            <w:r w:rsidRPr="00042087">
              <w:t>50–250 words per item</w:t>
            </w:r>
          </w:p>
        </w:tc>
        <w:tc>
          <w:tcPr>
            <w:tcW w:w="1836" w:type="dxa"/>
          </w:tcPr>
          <w:p w:rsidR="00042AA1" w:rsidRPr="00042087" w:rsidRDefault="00977E8D" w:rsidP="00042AA1">
            <w:pPr>
              <w:pStyle w:val="TableBullet"/>
            </w:pPr>
            <w:r>
              <w:t>p</w:t>
            </w:r>
            <w:r w:rsidR="00042AA1" w:rsidRPr="00042AA1">
              <w:t>erformance: continuous class time</w:t>
            </w:r>
            <w:r w:rsidR="00341E42">
              <w:t xml:space="preserve"> to develop and practice the performance</w:t>
            </w:r>
            <w:r w:rsidR="003C03D5">
              <w:t>.</w:t>
            </w:r>
          </w:p>
        </w:tc>
      </w:tr>
    </w:tbl>
    <w:p w:rsidR="00042087" w:rsidRPr="00042087" w:rsidRDefault="00042087" w:rsidP="00042087">
      <w:pPr>
        <w:spacing w:after="120"/>
      </w:pPr>
    </w:p>
    <w:p w:rsidR="00042087" w:rsidRPr="00042087" w:rsidRDefault="00042087" w:rsidP="00042087">
      <w:pPr>
        <w:spacing w:after="120"/>
      </w:pPr>
      <w:r w:rsidRPr="00042087">
        <w:br w:type="page"/>
      </w:r>
    </w:p>
    <w:p w:rsidR="00273408" w:rsidRDefault="00273408" w:rsidP="00273408"/>
    <w:tbl>
      <w:tblPr>
        <w:tblStyle w:val="TextLayout"/>
        <w:tblW w:w="5650" w:type="pct"/>
        <w:tblInd w:w="-170" w:type="dxa"/>
        <w:tblLayout w:type="fixed"/>
        <w:tblLook w:val="04A0" w:firstRow="1" w:lastRow="0" w:firstColumn="1" w:lastColumn="0" w:noHBand="0" w:noVBand="1"/>
      </w:tblPr>
      <w:tblGrid>
        <w:gridCol w:w="141"/>
        <w:gridCol w:w="9264"/>
        <w:gridCol w:w="845"/>
      </w:tblGrid>
      <w:tr w:rsidR="007C421C" w:rsidRPr="003B6F39" w:rsidTr="00E3079C">
        <w:trPr>
          <w:trHeight w:hRule="exact" w:val="851"/>
        </w:trPr>
        <w:tc>
          <w:tcPr>
            <w:tcW w:w="141" w:type="dxa"/>
            <w:shd w:val="clear" w:color="auto" w:fill="9F218B"/>
          </w:tcPr>
          <w:p w:rsidR="007C421C" w:rsidRDefault="007C421C" w:rsidP="00704A95">
            <w:pPr>
              <w:pStyle w:val="Tabletext"/>
            </w:pPr>
            <w:r>
              <w:br w:type="page"/>
            </w:r>
          </w:p>
        </w:tc>
        <w:tc>
          <w:tcPr>
            <w:tcW w:w="9264" w:type="dxa"/>
            <w:tcMar>
              <w:left w:w="57" w:type="dxa"/>
            </w:tcMar>
            <w:vAlign w:val="center"/>
          </w:tcPr>
          <w:p w:rsidR="007C421C" w:rsidRDefault="007C421C" w:rsidP="00F601D0">
            <w:pPr>
              <w:pStyle w:val="SubjectHeading"/>
            </w:pPr>
            <w:r>
              <w:t>Japanese</w:t>
            </w:r>
          </w:p>
          <w:p w:rsidR="007C421C" w:rsidRPr="00E86C01" w:rsidRDefault="007C421C" w:rsidP="00704A95">
            <w:pPr>
              <w:pStyle w:val="Heading3"/>
              <w:spacing w:before="0" w:after="0"/>
            </w:pPr>
            <w:bookmarkStart w:id="290" w:name="_Toc16163646"/>
            <w:r>
              <w:t>General senior subject</w:t>
            </w:r>
            <w:bookmarkEnd w:id="290"/>
          </w:p>
        </w:tc>
        <w:tc>
          <w:tcPr>
            <w:tcW w:w="845" w:type="dxa"/>
            <w:shd w:val="clear" w:color="auto" w:fill="9F218B"/>
            <w:tcMar>
              <w:bottom w:w="28" w:type="dxa"/>
              <w:right w:w="57" w:type="dxa"/>
            </w:tcMar>
            <w:vAlign w:val="bottom"/>
          </w:tcPr>
          <w:p w:rsidR="007C421C" w:rsidRPr="007642FE" w:rsidRDefault="007C421C" w:rsidP="00704A95">
            <w:pPr>
              <w:pStyle w:val="Heading3"/>
              <w:spacing w:before="0" w:after="100" w:afterAutospacing="1"/>
              <w:jc w:val="right"/>
              <w:rPr>
                <w:color w:val="FFFFFF" w:themeColor="background1"/>
                <w:sz w:val="17"/>
                <w:szCs w:val="17"/>
              </w:rPr>
            </w:pPr>
            <w:bookmarkStart w:id="291" w:name="_Toc16163647"/>
            <w:r w:rsidRPr="007642FE">
              <w:rPr>
                <w:color w:val="FFFFFF" w:themeColor="background1"/>
                <w:sz w:val="17"/>
                <w:szCs w:val="17"/>
              </w:rPr>
              <w:t>General</w:t>
            </w:r>
            <w:bookmarkEnd w:id="291"/>
          </w:p>
        </w:tc>
      </w:tr>
      <w:tr w:rsidR="007C421C" w:rsidRPr="003B6F39" w:rsidTr="00E3079C">
        <w:trPr>
          <w:trHeight w:hRule="exact" w:val="113"/>
        </w:trPr>
        <w:tc>
          <w:tcPr>
            <w:tcW w:w="10250" w:type="dxa"/>
            <w:gridSpan w:val="3"/>
            <w:shd w:val="clear" w:color="auto" w:fill="auto"/>
          </w:tcPr>
          <w:p w:rsidR="007C421C" w:rsidRPr="007642FE" w:rsidRDefault="007C421C" w:rsidP="00704A95">
            <w:pPr>
              <w:pStyle w:val="Heading3"/>
              <w:spacing w:before="0" w:after="100" w:afterAutospacing="1"/>
              <w:rPr>
                <w:color w:val="FFFFFF" w:themeColor="background1"/>
                <w:sz w:val="17"/>
                <w:szCs w:val="17"/>
              </w:rPr>
            </w:pPr>
          </w:p>
        </w:tc>
      </w:tr>
    </w:tbl>
    <w:p w:rsidR="007C421C" w:rsidRDefault="007C421C" w:rsidP="007C421C">
      <w:pPr>
        <w:pStyle w:val="BodyText"/>
        <w:rPr>
          <w:noProof/>
        </w:rPr>
      </w:pPr>
    </w:p>
    <w:p w:rsidR="007C421C" w:rsidRDefault="007C421C" w:rsidP="007C421C">
      <w:pPr>
        <w:pStyle w:val="BodyText"/>
        <w:sectPr w:rsidR="007C421C" w:rsidSect="00500900">
          <w:headerReference w:type="default" r:id="rId39"/>
          <w:type w:val="continuous"/>
          <w:pgSz w:w="11907" w:h="16840" w:code="9"/>
          <w:pgMar w:top="1134" w:right="1418" w:bottom="1701" w:left="1418" w:header="567" w:footer="284" w:gutter="0"/>
          <w:cols w:space="720"/>
          <w:formProt w:val="0"/>
          <w:noEndnote/>
          <w:docGrid w:linePitch="299"/>
        </w:sectPr>
      </w:pPr>
    </w:p>
    <w:p w:rsidR="00273408" w:rsidRPr="00FE1419" w:rsidRDefault="00273408" w:rsidP="00273408">
      <w:pPr>
        <w:pStyle w:val="BodyText"/>
      </w:pPr>
      <w:r>
        <w:t>Japanese provides students with the opportunity to</w:t>
      </w:r>
      <w:r w:rsidRPr="00FE1419">
        <w:t xml:space="preserve"> </w:t>
      </w:r>
      <w:r w:rsidRPr="007B5D4A">
        <w:t xml:space="preserve">reflect on their understanding of </w:t>
      </w:r>
      <w:r>
        <w:t>the Japanese language</w:t>
      </w:r>
      <w:r w:rsidRPr="007B5D4A">
        <w:t xml:space="preserve"> and the communities that use it, while also assisting in the effective negotiation of experiences and meaning across cultures and languages.</w:t>
      </w:r>
      <w:r>
        <w:t xml:space="preserve"> </w:t>
      </w:r>
      <w:r w:rsidR="003C5C1B">
        <w:t xml:space="preserve">Students </w:t>
      </w:r>
      <w:r w:rsidRPr="00FE1419">
        <w:t>participate in a range of interactions in which they exchange meaning</w:t>
      </w:r>
      <w:r w:rsidR="00FB7B18">
        <w:t>, develop intercultural understanding</w:t>
      </w:r>
      <w:r w:rsidRPr="00FE1419">
        <w:t xml:space="preserve"> and become active participants in understanding and constructing written, spoken and visual texts.</w:t>
      </w:r>
    </w:p>
    <w:p w:rsidR="00273408" w:rsidRDefault="00273408" w:rsidP="00273408">
      <w:pPr>
        <w:pStyle w:val="BodyText"/>
      </w:pPr>
      <w:r>
        <w:t xml:space="preserve">Students communicate </w:t>
      </w:r>
      <w:r w:rsidRPr="00FE1419">
        <w:t xml:space="preserve">with people from </w:t>
      </w:r>
      <w:r>
        <w:t>Japanese</w:t>
      </w:r>
      <w:r w:rsidRPr="00FE1419">
        <w:t xml:space="preserve">-speaking communities </w:t>
      </w:r>
      <w:r>
        <w:t>to understand the purpose and nature</w:t>
      </w:r>
      <w:r w:rsidRPr="00FE1419">
        <w:t xml:space="preserve"> of language and </w:t>
      </w:r>
      <w:r>
        <w:t xml:space="preserve">to gain understanding of </w:t>
      </w:r>
      <w:r w:rsidRPr="00FE1419">
        <w:t>linguistic structures.</w:t>
      </w:r>
      <w:r>
        <w:t xml:space="preserve"> They acquire language in </w:t>
      </w:r>
      <w:r w:rsidRPr="00FE1419">
        <w:t>social and cultural settings</w:t>
      </w:r>
      <w:r>
        <w:t xml:space="preserve"> and communicate</w:t>
      </w:r>
      <w:r w:rsidRPr="00FE1419">
        <w:t xml:space="preserve"> across a range of con</w:t>
      </w:r>
      <w:r>
        <w:t>texts for a variety of purposes</w:t>
      </w:r>
      <w:r w:rsidRPr="00FE1419">
        <w:t xml:space="preserve">. </w:t>
      </w:r>
    </w:p>
    <w:p w:rsidR="00273408" w:rsidRDefault="00273408" w:rsidP="00273408">
      <w:pPr>
        <w:pStyle w:val="BodyText"/>
        <w:spacing w:before="120"/>
      </w:pPr>
      <w:r>
        <w:t xml:space="preserve">Students </w:t>
      </w:r>
      <w:r w:rsidRPr="00FE1419">
        <w:t>experience and evaluate a range of different text types</w:t>
      </w:r>
      <w:r w:rsidR="003C5C1B">
        <w:t>;</w:t>
      </w:r>
      <w:r w:rsidRPr="00FE1419">
        <w:t xml:space="preserve"> reorganise their thinking to accommodate other linguistic and</w:t>
      </w:r>
      <w:r w:rsidR="008B7844">
        <w:t> </w:t>
      </w:r>
      <w:r w:rsidRPr="00FE1419">
        <w:t>intercultural kno</w:t>
      </w:r>
      <w:r>
        <w:t>wledge and textual conventions</w:t>
      </w:r>
      <w:r w:rsidR="003C5C1B">
        <w:t>;</w:t>
      </w:r>
      <w:r>
        <w:t xml:space="preserve"> and </w:t>
      </w:r>
      <w:r w:rsidRPr="00FE1419">
        <w:t>create texts for a range of contexts, purposes and audiences.</w:t>
      </w:r>
    </w:p>
    <w:p w:rsidR="00264823" w:rsidRDefault="00264823" w:rsidP="00264823">
      <w:pPr>
        <w:pStyle w:val="Heading3"/>
      </w:pPr>
      <w:bookmarkStart w:id="292" w:name="_Toc16163648"/>
      <w:r>
        <w:t>Pathways</w:t>
      </w:r>
      <w:bookmarkEnd w:id="292"/>
    </w:p>
    <w:p w:rsidR="00264823" w:rsidRPr="00A02426" w:rsidRDefault="00264823" w:rsidP="00264823">
      <w:pPr>
        <w:pStyle w:val="BodyText"/>
      </w:pPr>
      <w:r>
        <w:t>A course of study in Japanese</w:t>
      </w:r>
      <w:r w:rsidRPr="00A02426">
        <w:t xml:space="preserve"> can establish a basis for further education and employment in many professions and industries</w:t>
      </w:r>
      <w:r w:rsidR="00FB7B18">
        <w:t>,</w:t>
      </w:r>
      <w:r w:rsidRPr="00A02426">
        <w:t xml:space="preserve"> particularly those </w:t>
      </w:r>
      <w:r>
        <w:t>where</w:t>
      </w:r>
      <w:r w:rsidRPr="00A02426">
        <w:t xml:space="preserve"> the knowledge of an additional language and</w:t>
      </w:r>
      <w:r w:rsidR="00E721B4">
        <w:t> </w:t>
      </w:r>
      <w:r w:rsidRPr="00A02426">
        <w:t>the </w:t>
      </w:r>
      <w:r w:rsidRPr="00A02426">
        <w:rPr>
          <w:rStyle w:val="crossreference0"/>
        </w:rPr>
        <w:t>intercultural understanding</w:t>
      </w:r>
      <w:r w:rsidRPr="00A02426">
        <w:t> it encompasses</w:t>
      </w:r>
      <w:r>
        <w:t xml:space="preserve"> could be of value</w:t>
      </w:r>
      <w:r w:rsidRPr="00A02426">
        <w:t>, such as business, hospitality, law, science, technology, sociology and education.</w:t>
      </w:r>
    </w:p>
    <w:p w:rsidR="00264823" w:rsidRDefault="00264823" w:rsidP="00264823">
      <w:pPr>
        <w:pStyle w:val="Heading3"/>
      </w:pPr>
      <w:bookmarkStart w:id="293" w:name="_Toc16163649"/>
      <w:r>
        <w:t>Objectives</w:t>
      </w:r>
      <w:bookmarkEnd w:id="293"/>
    </w:p>
    <w:p w:rsidR="00264823" w:rsidRDefault="00264823" w:rsidP="00264823">
      <w:pPr>
        <w:pStyle w:val="BodyText"/>
        <w:spacing w:before="120"/>
        <w:rPr>
          <w:noProof/>
        </w:rPr>
      </w:pPr>
      <w:r>
        <w:rPr>
          <w:noProof/>
        </w:rPr>
        <w:t>By the conclusion of the course of study, students will:</w:t>
      </w:r>
    </w:p>
    <w:p w:rsidR="00264823" w:rsidRDefault="00264823" w:rsidP="00264823">
      <w:pPr>
        <w:pStyle w:val="ListBullet0"/>
        <w:rPr>
          <w:noProof/>
        </w:rPr>
      </w:pPr>
      <w:r>
        <w:rPr>
          <w:noProof/>
        </w:rPr>
        <w:t>comprehend Japanese to understand information, ideas, opinions and experiences</w:t>
      </w:r>
    </w:p>
    <w:p w:rsidR="00264823" w:rsidRDefault="00264823" w:rsidP="00264823">
      <w:pPr>
        <w:pStyle w:val="ListBullet0"/>
        <w:rPr>
          <w:noProof/>
        </w:rPr>
      </w:pPr>
      <w:r>
        <w:rPr>
          <w:noProof/>
        </w:rPr>
        <w:t>identify tone, purpose, context and audience to infer meaning, values and attitudes</w:t>
      </w:r>
    </w:p>
    <w:p w:rsidR="00264823" w:rsidRDefault="00264823" w:rsidP="00264823">
      <w:pPr>
        <w:pStyle w:val="ListBullet0"/>
        <w:rPr>
          <w:noProof/>
        </w:rPr>
      </w:pPr>
      <w:r>
        <w:rPr>
          <w:noProof/>
        </w:rPr>
        <w:t>analyse and evaluate information and ideas to draw conclusions and justify opinions, ideas and perspectives</w:t>
      </w:r>
    </w:p>
    <w:p w:rsidR="00264823" w:rsidRDefault="00264823" w:rsidP="00264823">
      <w:pPr>
        <w:pStyle w:val="ListBullet0"/>
        <w:rPr>
          <w:noProof/>
        </w:rPr>
      </w:pPr>
      <w:r>
        <w:rPr>
          <w:noProof/>
        </w:rPr>
        <w:t>apply knowledge of Japanese language elements, structures and textual conventions to convey meaning appropriate to context, purpose, audience and cultural conventions</w:t>
      </w:r>
    </w:p>
    <w:p w:rsidR="00264823" w:rsidRDefault="00264823" w:rsidP="00264823">
      <w:pPr>
        <w:pStyle w:val="ListBullet0"/>
        <w:rPr>
          <w:noProof/>
        </w:rPr>
      </w:pPr>
      <w:r>
        <w:rPr>
          <w:noProof/>
        </w:rPr>
        <w:t>structure, sequence and synthesise information to justify opinions, ideas and perspectives</w:t>
      </w:r>
    </w:p>
    <w:p w:rsidR="00264823" w:rsidRDefault="00264823" w:rsidP="00264823">
      <w:pPr>
        <w:pStyle w:val="ListBullet0"/>
        <w:rPr>
          <w:noProof/>
        </w:rPr>
        <w:sectPr w:rsidR="00264823" w:rsidSect="00500900">
          <w:type w:val="continuous"/>
          <w:pgSz w:w="11907" w:h="16840" w:code="9"/>
          <w:pgMar w:top="1134" w:right="1418" w:bottom="1701" w:left="1418" w:header="567" w:footer="284" w:gutter="0"/>
          <w:cols w:num="2" w:space="720"/>
          <w:formProt w:val="0"/>
          <w:noEndnote/>
          <w:docGrid w:linePitch="299"/>
        </w:sectPr>
      </w:pPr>
      <w:r>
        <w:rPr>
          <w:noProof/>
        </w:rPr>
        <w:t>use strategies to maintain communication and exchange meaning in Japanes</w:t>
      </w:r>
      <w:r w:rsidR="007C421C">
        <w:rPr>
          <w:noProof/>
        </w:rPr>
        <w:t>e.</w:t>
      </w:r>
    </w:p>
    <w:p w:rsidR="00264823" w:rsidRDefault="00264823" w:rsidP="007C421C">
      <w:pPr>
        <w:pStyle w:val="ListBullet0"/>
        <w:numPr>
          <w:ilvl w:val="0"/>
          <w:numId w:val="0"/>
        </w:numPr>
        <w:sectPr w:rsidR="00264823" w:rsidSect="00500900">
          <w:type w:val="continuous"/>
          <w:pgSz w:w="11907" w:h="16840" w:code="9"/>
          <w:pgMar w:top="1134" w:right="1418" w:bottom="1701" w:left="1418" w:header="567" w:footer="284" w:gutter="0"/>
          <w:cols w:num="2" w:space="720"/>
          <w:formProt w:val="0"/>
          <w:noEndnote/>
          <w:docGrid w:linePitch="299"/>
        </w:sectPr>
      </w:pPr>
    </w:p>
    <w:p w:rsidR="00264823" w:rsidRDefault="00264823" w:rsidP="00264823">
      <w:pPr>
        <w:pStyle w:val="Heading3"/>
      </w:pPr>
      <w:bookmarkStart w:id="294" w:name="_Toc16163650"/>
      <w:r>
        <w:t>Structure</w:t>
      </w:r>
      <w:bookmarkEnd w:id="294"/>
    </w:p>
    <w:tbl>
      <w:tblPr>
        <w:tblStyle w:val="QCAAtablestyle1"/>
        <w:tblW w:w="4900" w:type="pct"/>
        <w:tblLook w:val="04A0" w:firstRow="1" w:lastRow="0" w:firstColumn="1" w:lastColumn="0" w:noHBand="0" w:noVBand="1"/>
      </w:tblPr>
      <w:tblGrid>
        <w:gridCol w:w="2246"/>
        <w:gridCol w:w="2211"/>
        <w:gridCol w:w="2211"/>
        <w:gridCol w:w="2212"/>
      </w:tblGrid>
      <w:tr w:rsidR="00264823" w:rsidTr="00704A95">
        <w:trPr>
          <w:cnfStyle w:val="100000000000" w:firstRow="1" w:lastRow="0" w:firstColumn="0" w:lastColumn="0" w:oddVBand="0" w:evenVBand="0" w:oddHBand="0" w:evenHBand="0" w:firstRowFirstColumn="0" w:firstRowLastColumn="0" w:lastRowFirstColumn="0" w:lastRowLastColumn="0"/>
        </w:trPr>
        <w:tc>
          <w:tcPr>
            <w:tcW w:w="2246" w:type="dxa"/>
          </w:tcPr>
          <w:p w:rsidR="00264823" w:rsidRDefault="00264823" w:rsidP="00704A95">
            <w:pPr>
              <w:pStyle w:val="TableHeading0"/>
            </w:pPr>
            <w:r>
              <w:t>Unit 1</w:t>
            </w:r>
          </w:p>
        </w:tc>
        <w:tc>
          <w:tcPr>
            <w:tcW w:w="2211" w:type="dxa"/>
          </w:tcPr>
          <w:p w:rsidR="00264823" w:rsidRDefault="00264823" w:rsidP="00704A95">
            <w:pPr>
              <w:pStyle w:val="TableHeading0"/>
            </w:pPr>
            <w:r>
              <w:t>Unit 2</w:t>
            </w:r>
          </w:p>
        </w:tc>
        <w:tc>
          <w:tcPr>
            <w:tcW w:w="2211" w:type="dxa"/>
          </w:tcPr>
          <w:p w:rsidR="00264823" w:rsidRDefault="00264823" w:rsidP="00704A95">
            <w:pPr>
              <w:pStyle w:val="TableHeading0"/>
            </w:pPr>
            <w:r>
              <w:t>Unit 3</w:t>
            </w:r>
          </w:p>
        </w:tc>
        <w:tc>
          <w:tcPr>
            <w:tcW w:w="2212" w:type="dxa"/>
          </w:tcPr>
          <w:p w:rsidR="00264823" w:rsidRDefault="00264823" w:rsidP="00704A95">
            <w:pPr>
              <w:pStyle w:val="TableHeading0"/>
            </w:pPr>
            <w:r>
              <w:t>Unit 4</w:t>
            </w:r>
          </w:p>
        </w:tc>
      </w:tr>
      <w:tr w:rsidR="00264823" w:rsidTr="00704A95">
        <w:tc>
          <w:tcPr>
            <w:tcW w:w="2246" w:type="dxa"/>
            <w:shd w:val="clear" w:color="auto" w:fill="auto"/>
          </w:tcPr>
          <w:p w:rsidR="007C421C" w:rsidRDefault="007C421C" w:rsidP="00704A95">
            <w:pPr>
              <w:pStyle w:val="TableHeading0"/>
            </w:pPr>
            <w:r>
              <w:rPr>
                <w:rFonts w:ascii="MS Gothic" w:eastAsia="MS Gothic" w:hAnsi="MS Gothic" w:cs="MS Gothic" w:hint="eastAsia"/>
              </w:rPr>
              <w:t>私のくらし</w:t>
            </w:r>
          </w:p>
          <w:p w:rsidR="00264823" w:rsidRDefault="00264823" w:rsidP="00704A95">
            <w:pPr>
              <w:pStyle w:val="TableHeading0"/>
            </w:pPr>
            <w:r>
              <w:t>My world</w:t>
            </w:r>
          </w:p>
          <w:p w:rsidR="00264823" w:rsidRDefault="00264823" w:rsidP="00704A95">
            <w:pPr>
              <w:pStyle w:val="TableBullet"/>
            </w:pPr>
            <w:r>
              <w:t>Family/carers and friends</w:t>
            </w:r>
          </w:p>
          <w:p w:rsidR="00264823" w:rsidRDefault="00264823" w:rsidP="00704A95">
            <w:pPr>
              <w:pStyle w:val="TableBullet"/>
            </w:pPr>
            <w:r>
              <w:t>Lifestyle and leisure</w:t>
            </w:r>
          </w:p>
          <w:p w:rsidR="00264823" w:rsidRDefault="00264823" w:rsidP="00704A95">
            <w:pPr>
              <w:pStyle w:val="TableBullet"/>
            </w:pPr>
            <w:r>
              <w:t>Education</w:t>
            </w:r>
          </w:p>
        </w:tc>
        <w:tc>
          <w:tcPr>
            <w:tcW w:w="2211" w:type="dxa"/>
            <w:shd w:val="clear" w:color="auto" w:fill="auto"/>
          </w:tcPr>
          <w:p w:rsidR="007C421C" w:rsidRDefault="007C421C" w:rsidP="00704A95">
            <w:pPr>
              <w:pStyle w:val="TableHeading0"/>
            </w:pPr>
            <w:r>
              <w:rPr>
                <w:rFonts w:ascii="MS Gothic" w:eastAsia="MS Gothic" w:hAnsi="MS Gothic" w:cs="MS Gothic" w:hint="eastAsia"/>
              </w:rPr>
              <w:t>私達のまわり</w:t>
            </w:r>
          </w:p>
          <w:p w:rsidR="00264823" w:rsidRDefault="00264823" w:rsidP="00704A95">
            <w:pPr>
              <w:pStyle w:val="TableHeading0"/>
            </w:pPr>
            <w:r>
              <w:t>Exploring our world</w:t>
            </w:r>
          </w:p>
          <w:p w:rsidR="00264823" w:rsidRDefault="00264823" w:rsidP="00704A95">
            <w:pPr>
              <w:pStyle w:val="TableBullet"/>
            </w:pPr>
            <w:r>
              <w:t>Travel</w:t>
            </w:r>
          </w:p>
          <w:p w:rsidR="00264823" w:rsidRDefault="00264823" w:rsidP="00704A95">
            <w:pPr>
              <w:pStyle w:val="TableBullet"/>
            </w:pPr>
            <w:r>
              <w:t>Technology and media</w:t>
            </w:r>
          </w:p>
          <w:p w:rsidR="00264823" w:rsidRDefault="00264823" w:rsidP="00704A95">
            <w:pPr>
              <w:pStyle w:val="TableBullet"/>
            </w:pPr>
            <w:r>
              <w:t xml:space="preserve">The contribution </w:t>
            </w:r>
            <w:r w:rsidR="00BB37FE">
              <w:t>of Japanese culture t</w:t>
            </w:r>
            <w:r>
              <w:t>o the world</w:t>
            </w:r>
          </w:p>
        </w:tc>
        <w:tc>
          <w:tcPr>
            <w:tcW w:w="2211" w:type="dxa"/>
            <w:shd w:val="clear" w:color="auto" w:fill="auto"/>
          </w:tcPr>
          <w:p w:rsidR="007C421C" w:rsidRDefault="007C421C" w:rsidP="00704A95">
            <w:pPr>
              <w:pStyle w:val="TableHeading0"/>
            </w:pPr>
            <w:r>
              <w:rPr>
                <w:rFonts w:ascii="MS Gothic" w:eastAsia="MS Gothic" w:hAnsi="MS Gothic" w:cs="MS Gothic" w:hint="eastAsia"/>
              </w:rPr>
              <w:t>私達の社会</w:t>
            </w:r>
          </w:p>
          <w:p w:rsidR="00264823" w:rsidRDefault="00264823" w:rsidP="00704A95">
            <w:pPr>
              <w:pStyle w:val="TableHeading0"/>
            </w:pPr>
            <w:r>
              <w:t>Our society</w:t>
            </w:r>
          </w:p>
          <w:p w:rsidR="00264823" w:rsidRDefault="00264823" w:rsidP="00704A95">
            <w:pPr>
              <w:pStyle w:val="TableBullet"/>
            </w:pPr>
            <w:r>
              <w:t>Roles and relationships</w:t>
            </w:r>
          </w:p>
          <w:p w:rsidR="00264823" w:rsidRDefault="00264823" w:rsidP="00704A95">
            <w:pPr>
              <w:pStyle w:val="TableBullet"/>
            </w:pPr>
            <w:r>
              <w:t>Socialising and connecting with my peers</w:t>
            </w:r>
          </w:p>
          <w:p w:rsidR="00264823" w:rsidRDefault="00264823" w:rsidP="00704A95">
            <w:pPr>
              <w:pStyle w:val="TableBullet"/>
            </w:pPr>
            <w:r>
              <w:t>Groups in society</w:t>
            </w:r>
          </w:p>
        </w:tc>
        <w:tc>
          <w:tcPr>
            <w:tcW w:w="2212" w:type="dxa"/>
            <w:shd w:val="clear" w:color="auto" w:fill="auto"/>
          </w:tcPr>
          <w:p w:rsidR="007C421C" w:rsidRDefault="007C421C" w:rsidP="00704A95">
            <w:pPr>
              <w:pStyle w:val="TableHeading0"/>
            </w:pPr>
            <w:r>
              <w:rPr>
                <w:rFonts w:ascii="MS Gothic" w:eastAsia="MS Gothic" w:hAnsi="MS Gothic" w:cs="MS Gothic" w:hint="eastAsia"/>
              </w:rPr>
              <w:t>私の将来</w:t>
            </w:r>
          </w:p>
          <w:p w:rsidR="00264823" w:rsidRDefault="00264823" w:rsidP="00704A95">
            <w:pPr>
              <w:pStyle w:val="TableHeading0"/>
            </w:pPr>
            <w:r>
              <w:t>My future</w:t>
            </w:r>
          </w:p>
          <w:p w:rsidR="00264823" w:rsidRDefault="00264823" w:rsidP="00704A95">
            <w:pPr>
              <w:pStyle w:val="TableBullet"/>
            </w:pPr>
            <w:r>
              <w:t>Finishing secondary school, plans and reflections</w:t>
            </w:r>
          </w:p>
          <w:p w:rsidR="00264823" w:rsidRDefault="00264823" w:rsidP="00704A95">
            <w:pPr>
              <w:pStyle w:val="TableBullet"/>
            </w:pPr>
            <w:r>
              <w:t>Responsibilities and moving on</w:t>
            </w:r>
          </w:p>
        </w:tc>
      </w:tr>
    </w:tbl>
    <w:p w:rsidR="00264823" w:rsidRPr="009A2B10" w:rsidRDefault="00264823" w:rsidP="00264823">
      <w:pPr>
        <w:keepNext/>
        <w:keepLines/>
        <w:spacing w:before="240" w:after="120"/>
        <w:outlineLvl w:val="2"/>
        <w:rPr>
          <w:b/>
          <w:color w:val="6D6F71"/>
          <w:sz w:val="28"/>
          <w:szCs w:val="28"/>
        </w:rPr>
      </w:pPr>
      <w:bookmarkStart w:id="295" w:name="_Toc16163651"/>
      <w:r w:rsidRPr="009A2B10">
        <w:rPr>
          <w:b/>
          <w:color w:val="6D6F71"/>
          <w:sz w:val="28"/>
          <w:szCs w:val="28"/>
        </w:rPr>
        <w:t>Assessment</w:t>
      </w:r>
      <w:bookmarkEnd w:id="295"/>
    </w:p>
    <w:p w:rsidR="00316849" w:rsidRDefault="00316849" w:rsidP="00316849">
      <w:pPr>
        <w:pStyle w:val="BodyText"/>
      </w:pPr>
      <w:r>
        <w:t>S</w:t>
      </w:r>
      <w:r w:rsidRPr="008C3C06">
        <w:t>chools devise assessment</w:t>
      </w:r>
      <w:r>
        <w:t>s</w:t>
      </w:r>
      <w:r w:rsidRPr="008C3C06">
        <w:t xml:space="preserve"> </w:t>
      </w:r>
      <w:r>
        <w:t>i</w:t>
      </w:r>
      <w:r w:rsidRPr="008C3C06">
        <w:t>n Units 1 and 2 to suit their local context.</w:t>
      </w:r>
      <w:r>
        <w:t xml:space="preserve"> </w:t>
      </w:r>
    </w:p>
    <w:p w:rsidR="00316849" w:rsidRDefault="00316849" w:rsidP="00316849">
      <w:pPr>
        <w:pStyle w:val="BodyText"/>
      </w:pPr>
      <w:r>
        <w:t>I</w:t>
      </w:r>
      <w:r w:rsidRPr="008C3C06">
        <w:t xml:space="preserve">n Units 3 and 4 </w:t>
      </w:r>
      <w:r>
        <w:t>s</w:t>
      </w:r>
      <w:r w:rsidRPr="008C3C06">
        <w:t>tudents complete four summative assessments</w:t>
      </w:r>
      <w:r>
        <w:t>. The results from each of the assessments are added together to prov</w:t>
      </w:r>
      <w:r w:rsidR="005D39C5">
        <w:t>ide a subject score out of 100.</w:t>
      </w:r>
      <w:r>
        <w:t xml:space="preserve"> Students will also receive an overall subject result (A–E).</w:t>
      </w:r>
    </w:p>
    <w:p w:rsidR="00DE76ED" w:rsidRDefault="00DE76ED" w:rsidP="002D55F4">
      <w:pPr>
        <w:pStyle w:val="Caption"/>
        <w:rPr>
          <w:noProof/>
        </w:rPr>
      </w:pPr>
      <w:r>
        <w:t>Summative assessments</w:t>
      </w:r>
    </w:p>
    <w:tbl>
      <w:tblPr>
        <w:tblStyle w:val="QCAAtablestyle11"/>
        <w:tblW w:w="4900" w:type="pct"/>
        <w:tblLayout w:type="fixed"/>
        <w:tblLook w:val="04A0" w:firstRow="1" w:lastRow="0" w:firstColumn="1" w:lastColumn="0" w:noHBand="0" w:noVBand="1"/>
      </w:tblPr>
      <w:tblGrid>
        <w:gridCol w:w="3962"/>
        <w:gridCol w:w="675"/>
        <w:gridCol w:w="3568"/>
        <w:gridCol w:w="675"/>
      </w:tblGrid>
      <w:tr w:rsidR="00DE1882" w:rsidRPr="009A2B10" w:rsidTr="00E1408E">
        <w:trPr>
          <w:cnfStyle w:val="100000000000" w:firstRow="1" w:lastRow="0" w:firstColumn="0" w:lastColumn="0" w:oddVBand="0" w:evenVBand="0" w:oddHBand="0" w:evenHBand="0" w:firstRowFirstColumn="0" w:firstRowLastColumn="0" w:lastRowFirstColumn="0" w:lastRowLastColumn="0"/>
        </w:trPr>
        <w:tc>
          <w:tcPr>
            <w:tcW w:w="4962" w:type="dxa"/>
            <w:gridSpan w:val="2"/>
          </w:tcPr>
          <w:p w:rsidR="00DE1882" w:rsidRPr="009A2B10" w:rsidRDefault="00DE1882" w:rsidP="00704A95">
            <w:pPr>
              <w:pStyle w:val="TableHeading0"/>
            </w:pPr>
            <w:r w:rsidRPr="009A2B10">
              <w:t>Unit 3</w:t>
            </w:r>
          </w:p>
        </w:tc>
        <w:tc>
          <w:tcPr>
            <w:tcW w:w="4536" w:type="dxa"/>
            <w:gridSpan w:val="2"/>
          </w:tcPr>
          <w:p w:rsidR="00DE1882" w:rsidRPr="009A2B10" w:rsidRDefault="00DE1882" w:rsidP="00704A95">
            <w:pPr>
              <w:pStyle w:val="TableHeading0"/>
            </w:pPr>
            <w:r w:rsidRPr="009A2B10">
              <w:t>Unit 4</w:t>
            </w:r>
          </w:p>
        </w:tc>
      </w:tr>
      <w:tr w:rsidR="00DE1882" w:rsidRPr="009A2B10" w:rsidTr="00E1408E">
        <w:tc>
          <w:tcPr>
            <w:tcW w:w="4253" w:type="dxa"/>
          </w:tcPr>
          <w:p w:rsidR="00DE1882" w:rsidRPr="009A2B10" w:rsidRDefault="00DE1882" w:rsidP="00704A95">
            <w:pPr>
              <w:pStyle w:val="TableText0"/>
            </w:pPr>
            <w:r w:rsidRPr="009A2B10">
              <w:t xml:space="preserve">Summative internal assessment 1 (IA1): </w:t>
            </w:r>
          </w:p>
          <w:p w:rsidR="00DE1882" w:rsidRPr="009A2B10" w:rsidRDefault="00DE1882" w:rsidP="00704A95">
            <w:pPr>
              <w:pStyle w:val="TableBullet"/>
              <w:numPr>
                <w:ilvl w:val="0"/>
                <w:numId w:val="24"/>
              </w:numPr>
            </w:pPr>
            <w:r>
              <w:t>Examination — short response</w:t>
            </w:r>
          </w:p>
        </w:tc>
        <w:tc>
          <w:tcPr>
            <w:tcW w:w="709" w:type="dxa"/>
          </w:tcPr>
          <w:p w:rsidR="00DE1882" w:rsidRPr="009A2B10" w:rsidRDefault="00DE1882" w:rsidP="00704A95">
            <w:pPr>
              <w:pStyle w:val="TableText0"/>
            </w:pPr>
            <w:r w:rsidRPr="009A2B10">
              <w:t>1</w:t>
            </w:r>
            <w:r>
              <w:t>5</w:t>
            </w:r>
            <w:r w:rsidRPr="009A2B10">
              <w:t>%</w:t>
            </w:r>
          </w:p>
        </w:tc>
        <w:tc>
          <w:tcPr>
            <w:tcW w:w="3827" w:type="dxa"/>
          </w:tcPr>
          <w:p w:rsidR="00DE1882" w:rsidRPr="009A2B10" w:rsidRDefault="00DE1882" w:rsidP="00704A95">
            <w:pPr>
              <w:pStyle w:val="TableText0"/>
            </w:pPr>
            <w:r w:rsidRPr="009A2B10">
              <w:t xml:space="preserve">Summative internal assessment 3 (IA3): </w:t>
            </w:r>
          </w:p>
          <w:p w:rsidR="00DE1882" w:rsidRPr="009A2B10" w:rsidRDefault="00DE1882" w:rsidP="00704A95">
            <w:pPr>
              <w:pStyle w:val="TableBullet"/>
              <w:numPr>
                <w:ilvl w:val="0"/>
                <w:numId w:val="24"/>
              </w:numPr>
            </w:pPr>
            <w:r>
              <w:t>Extended response</w:t>
            </w:r>
          </w:p>
        </w:tc>
        <w:tc>
          <w:tcPr>
            <w:tcW w:w="709" w:type="dxa"/>
          </w:tcPr>
          <w:p w:rsidR="00DE1882" w:rsidRPr="009A2B10" w:rsidRDefault="00DE1882" w:rsidP="00704A95">
            <w:r>
              <w:t>3</w:t>
            </w:r>
            <w:r w:rsidRPr="009A2B10">
              <w:t>0%</w:t>
            </w:r>
          </w:p>
        </w:tc>
      </w:tr>
      <w:tr w:rsidR="00DE1882" w:rsidRPr="009A2B10" w:rsidTr="00E1408E">
        <w:tc>
          <w:tcPr>
            <w:tcW w:w="4253" w:type="dxa"/>
          </w:tcPr>
          <w:p w:rsidR="00DE1882" w:rsidRPr="009A2B10" w:rsidRDefault="00DE1882" w:rsidP="00704A95">
            <w:pPr>
              <w:pStyle w:val="TableText0"/>
            </w:pPr>
            <w:r w:rsidRPr="009A2B10">
              <w:t>Summativ</w:t>
            </w:r>
            <w:r w:rsidR="005D39C5">
              <w:t xml:space="preserve">e internal assessment 2 (IA2): </w:t>
            </w:r>
          </w:p>
          <w:p w:rsidR="00DE1882" w:rsidRPr="009A2B10" w:rsidRDefault="00DE1882" w:rsidP="00704A95">
            <w:pPr>
              <w:pStyle w:val="TableBullet"/>
              <w:numPr>
                <w:ilvl w:val="0"/>
                <w:numId w:val="24"/>
              </w:numPr>
            </w:pPr>
            <w:r w:rsidRPr="006E0D8F">
              <w:t xml:space="preserve">Examination — </w:t>
            </w:r>
            <w:r>
              <w:t xml:space="preserve">combination </w:t>
            </w:r>
            <w:r w:rsidRPr="006E0D8F">
              <w:t xml:space="preserve">response </w:t>
            </w:r>
          </w:p>
        </w:tc>
        <w:tc>
          <w:tcPr>
            <w:tcW w:w="709" w:type="dxa"/>
          </w:tcPr>
          <w:p w:rsidR="00DE1882" w:rsidRPr="009A2B10" w:rsidRDefault="00DE1882" w:rsidP="00704A95">
            <w:pPr>
              <w:pStyle w:val="TableText0"/>
            </w:pPr>
            <w:r>
              <w:t>3</w:t>
            </w:r>
            <w:r w:rsidRPr="009A2B10">
              <w:t>0%</w:t>
            </w:r>
          </w:p>
        </w:tc>
        <w:tc>
          <w:tcPr>
            <w:tcW w:w="3827" w:type="dxa"/>
          </w:tcPr>
          <w:p w:rsidR="00DE1882" w:rsidRPr="009A2B10" w:rsidRDefault="00DE1882" w:rsidP="00704A95">
            <w:pPr>
              <w:pStyle w:val="TableText0"/>
            </w:pPr>
            <w:r w:rsidRPr="009A2B10">
              <w:t xml:space="preserve">Summative external assessment (EA): </w:t>
            </w:r>
          </w:p>
          <w:p w:rsidR="00DE1882" w:rsidRPr="009A2B10" w:rsidRDefault="00DE1882" w:rsidP="00704A95">
            <w:pPr>
              <w:pStyle w:val="TableBullet"/>
              <w:numPr>
                <w:ilvl w:val="0"/>
                <w:numId w:val="24"/>
              </w:numPr>
            </w:pPr>
            <w:r w:rsidRPr="006E0D8F">
              <w:t xml:space="preserve">Examination — combination response </w:t>
            </w:r>
          </w:p>
        </w:tc>
        <w:tc>
          <w:tcPr>
            <w:tcW w:w="709" w:type="dxa"/>
          </w:tcPr>
          <w:p w:rsidR="00DE1882" w:rsidRPr="009A2B10" w:rsidRDefault="00DE1882" w:rsidP="00704A95">
            <w:r>
              <w:t>2</w:t>
            </w:r>
            <w:r w:rsidRPr="009A2B10">
              <w:t>5%</w:t>
            </w:r>
          </w:p>
        </w:tc>
      </w:tr>
    </w:tbl>
    <w:p w:rsidR="00264823" w:rsidRPr="009A2B10" w:rsidRDefault="00264823" w:rsidP="00264823"/>
    <w:p w:rsidR="001C0252" w:rsidRDefault="001C0252" w:rsidP="001C0252">
      <w:r>
        <w:br w:type="page"/>
      </w:r>
    </w:p>
    <w:p w:rsidR="006B3BF5" w:rsidRDefault="006B3BF5" w:rsidP="006B3BF5"/>
    <w:tbl>
      <w:tblPr>
        <w:tblStyle w:val="TextLayout"/>
        <w:tblW w:w="5650" w:type="pct"/>
        <w:tblInd w:w="-170" w:type="dxa"/>
        <w:tblLayout w:type="fixed"/>
        <w:tblLook w:val="04A0" w:firstRow="1" w:lastRow="0" w:firstColumn="1" w:lastColumn="0" w:noHBand="0" w:noVBand="1"/>
      </w:tblPr>
      <w:tblGrid>
        <w:gridCol w:w="141"/>
        <w:gridCol w:w="9264"/>
        <w:gridCol w:w="845"/>
      </w:tblGrid>
      <w:tr w:rsidR="001F0BA2" w:rsidRPr="003B6F39" w:rsidTr="001F0BA2">
        <w:trPr>
          <w:trHeight w:hRule="exact" w:val="851"/>
        </w:trPr>
        <w:tc>
          <w:tcPr>
            <w:tcW w:w="142" w:type="dxa"/>
            <w:shd w:val="clear" w:color="auto" w:fill="6858A9"/>
          </w:tcPr>
          <w:p w:rsidR="001F0BA2" w:rsidRDefault="001F0BA2" w:rsidP="002037BC">
            <w:pPr>
              <w:pStyle w:val="Tabletext"/>
            </w:pPr>
          </w:p>
        </w:tc>
        <w:tc>
          <w:tcPr>
            <w:tcW w:w="9323" w:type="dxa"/>
            <w:tcMar>
              <w:left w:w="57" w:type="dxa"/>
            </w:tcMar>
            <w:vAlign w:val="center"/>
          </w:tcPr>
          <w:p w:rsidR="001F0BA2" w:rsidRDefault="001F0BA2" w:rsidP="00F601D0">
            <w:pPr>
              <w:pStyle w:val="SubjectHeading"/>
            </w:pPr>
            <w:r>
              <w:t>Dance</w:t>
            </w:r>
          </w:p>
          <w:p w:rsidR="001F0BA2" w:rsidRPr="00E86C01" w:rsidRDefault="001F0BA2" w:rsidP="001F0BA2">
            <w:pPr>
              <w:pStyle w:val="Heading3"/>
              <w:spacing w:before="0" w:after="0"/>
            </w:pPr>
            <w:bookmarkStart w:id="296" w:name="_Toc16163652"/>
            <w:r>
              <w:t>General senior subject</w:t>
            </w:r>
            <w:bookmarkEnd w:id="296"/>
          </w:p>
        </w:tc>
        <w:tc>
          <w:tcPr>
            <w:tcW w:w="850" w:type="dxa"/>
            <w:shd w:val="clear" w:color="auto" w:fill="6858A9"/>
            <w:tcMar>
              <w:bottom w:w="28" w:type="dxa"/>
              <w:right w:w="57" w:type="dxa"/>
            </w:tcMar>
            <w:vAlign w:val="bottom"/>
          </w:tcPr>
          <w:p w:rsidR="001F0BA2" w:rsidRPr="007642FE" w:rsidRDefault="001F0BA2" w:rsidP="001F0BA2">
            <w:pPr>
              <w:pStyle w:val="Heading3"/>
              <w:spacing w:before="0" w:after="100" w:afterAutospacing="1"/>
              <w:jc w:val="right"/>
              <w:rPr>
                <w:color w:val="FFFFFF" w:themeColor="background1"/>
                <w:sz w:val="17"/>
                <w:szCs w:val="17"/>
              </w:rPr>
            </w:pPr>
            <w:bookmarkStart w:id="297" w:name="_Toc16163653"/>
            <w:r>
              <w:rPr>
                <w:color w:val="FFFFFF" w:themeColor="background1"/>
                <w:sz w:val="17"/>
                <w:szCs w:val="17"/>
              </w:rPr>
              <w:t>General</w:t>
            </w:r>
            <w:bookmarkEnd w:id="297"/>
          </w:p>
        </w:tc>
      </w:tr>
      <w:tr w:rsidR="001F0BA2" w:rsidRPr="003B6F39" w:rsidTr="002037BC">
        <w:trPr>
          <w:trHeight w:hRule="exact" w:val="113"/>
        </w:trPr>
        <w:tc>
          <w:tcPr>
            <w:tcW w:w="10315" w:type="dxa"/>
            <w:gridSpan w:val="3"/>
            <w:shd w:val="clear" w:color="auto" w:fill="auto"/>
          </w:tcPr>
          <w:p w:rsidR="001F0BA2" w:rsidRPr="00E86C01" w:rsidRDefault="001F0BA2" w:rsidP="002037BC">
            <w:pPr>
              <w:pStyle w:val="Smallspace"/>
            </w:pPr>
          </w:p>
        </w:tc>
      </w:tr>
    </w:tbl>
    <w:p w:rsidR="00A8343A" w:rsidRDefault="00A8343A" w:rsidP="001C0252">
      <w:pPr>
        <w:pStyle w:val="BodyText"/>
        <w:spacing w:before="120"/>
        <w:rPr>
          <w:noProof/>
        </w:rPr>
        <w:sectPr w:rsidR="00A8343A" w:rsidSect="00500900">
          <w:type w:val="continuous"/>
          <w:pgSz w:w="11907" w:h="16840" w:code="9"/>
          <w:pgMar w:top="1134" w:right="1418" w:bottom="1701" w:left="1418" w:header="567" w:footer="284" w:gutter="0"/>
          <w:cols w:space="720"/>
          <w:formProt w:val="0"/>
          <w:noEndnote/>
          <w:docGrid w:linePitch="299"/>
        </w:sectPr>
      </w:pPr>
    </w:p>
    <w:p w:rsidR="00A8343A" w:rsidRDefault="00C349D1" w:rsidP="00A8343A">
      <w:pPr>
        <w:pStyle w:val="BodyText"/>
      </w:pPr>
      <w:r>
        <w:fldChar w:fldCharType="begin"/>
      </w:r>
      <w:r>
        <w:instrText xml:space="preserve"> TC  "</w:instrText>
      </w:r>
      <w:bookmarkStart w:id="298" w:name="_Toc495675605"/>
      <w:r>
        <w:instrText>The Arts</w:instrText>
      </w:r>
      <w:bookmarkEnd w:id="298"/>
      <w:r>
        <w:instrText xml:space="preserve">" \l 2 </w:instrText>
      </w:r>
      <w:r>
        <w:fldChar w:fldCharType="end"/>
      </w:r>
      <w:r w:rsidR="003B440C" w:rsidRPr="00A8343A">
        <w:t>D</w:t>
      </w:r>
      <w:r w:rsidR="003B440C">
        <w:t>ance</w:t>
      </w:r>
      <w:r w:rsidR="003B440C" w:rsidRPr="00A8343A">
        <w:t xml:space="preserve"> </w:t>
      </w:r>
      <w:r w:rsidR="003B440C">
        <w:t>fosters creative and expressive communication. It</w:t>
      </w:r>
      <w:r w:rsidR="002A5777">
        <w:t xml:space="preserve"> </w:t>
      </w:r>
      <w:r w:rsidR="00A8343A" w:rsidRPr="0048761D">
        <w:t>uses the body as an instrument for expression and communication of ideas</w:t>
      </w:r>
      <w:r w:rsidR="002A5777">
        <w:t>. It</w:t>
      </w:r>
      <w:r w:rsidR="00A8343A">
        <w:t xml:space="preserve"> provides </w:t>
      </w:r>
      <w:r w:rsidR="00A8343A" w:rsidRPr="0061769A">
        <w:t>opportunities for students to critically examine and reflect on their world through higher order thinking and movement.</w:t>
      </w:r>
      <w:r w:rsidR="00A8343A" w:rsidRPr="0048761D">
        <w:t xml:space="preserve"> It encourages the holistic development of a person, providing a way of knowing about oneself, others and the world.</w:t>
      </w:r>
    </w:p>
    <w:p w:rsidR="00A8343A" w:rsidRDefault="00A8343A" w:rsidP="00A8343A">
      <w:pPr>
        <w:pStyle w:val="BodyText"/>
      </w:pPr>
      <w:r w:rsidRPr="005E2BB4">
        <w:t xml:space="preserve">Students study dance in various genres and styles, embracing a variety of cultural, societal and historical viewpoints integrating new technologies in all facets of the subject. Historical, current and emerging dance practices, works and artists are explored in global contexts and Australian contexts, including the dance of Aboriginal peoples and Torres Strait Islander peoples. </w:t>
      </w:r>
      <w:r w:rsidR="00FC194D">
        <w:t xml:space="preserve">Students </w:t>
      </w:r>
      <w:r w:rsidRPr="005E2BB4">
        <w:t>learn about dance as it is now and explore its origins across time and cultures.</w:t>
      </w:r>
    </w:p>
    <w:p w:rsidR="00A8343A" w:rsidRPr="002E14D3" w:rsidRDefault="00A8343A" w:rsidP="00A8343A">
      <w:pPr>
        <w:pStyle w:val="BodyText"/>
      </w:pPr>
      <w:r>
        <w:t>S</w:t>
      </w:r>
      <w:r w:rsidRPr="00C93678">
        <w:t xml:space="preserve">tudents </w:t>
      </w:r>
      <w:r w:rsidR="002A5777">
        <w:t xml:space="preserve">apply critical thinking and literacy skills to create, demonstrate, express and reflect on meaning made through movement. Exploring dance through the lens of making and responding, students learn to pose and solve problems, </w:t>
      </w:r>
      <w:r w:rsidR="00FC194D">
        <w:t xml:space="preserve">and </w:t>
      </w:r>
      <w:r w:rsidR="002A5777">
        <w:t>work independently and collaboratively</w:t>
      </w:r>
      <w:r w:rsidRPr="002E14D3">
        <w:t>.</w:t>
      </w:r>
      <w:r w:rsidR="002A5777">
        <w:t xml:space="preserve"> They develop aesthetic and kinaesthetic intelligence</w:t>
      </w:r>
      <w:r w:rsidR="00FC194D">
        <w:t>,</w:t>
      </w:r>
      <w:r w:rsidR="002A5777">
        <w:t xml:space="preserve"> and personal and social skills.</w:t>
      </w:r>
      <w:r w:rsidRPr="002E14D3">
        <w:t xml:space="preserve"> </w:t>
      </w:r>
    </w:p>
    <w:p w:rsidR="00A8343A" w:rsidRDefault="00A8343A" w:rsidP="005B329C">
      <w:pPr>
        <w:pStyle w:val="Heading3"/>
        <w:spacing w:before="120"/>
      </w:pPr>
      <w:bookmarkStart w:id="299" w:name="_Toc16163654"/>
      <w:r>
        <w:t>Pathways</w:t>
      </w:r>
      <w:bookmarkEnd w:id="299"/>
    </w:p>
    <w:p w:rsidR="00A8343A" w:rsidRPr="002E14D3" w:rsidRDefault="00A8343A" w:rsidP="00A8343A">
      <w:pPr>
        <w:pStyle w:val="BodyText"/>
      </w:pPr>
      <w:r w:rsidRPr="002E14D3">
        <w:t>A course of study in Dance can establish a basis for further education and employment in the field of dance, and to broader areas in creative industries and cultural institutions</w:t>
      </w:r>
      <w:r w:rsidR="00FC194D">
        <w:t>,</w:t>
      </w:r>
      <w:r w:rsidRPr="002E14D3">
        <w:t xml:space="preserve"> including arts administration and management, communication, education, public relations, research, and science and technology.</w:t>
      </w:r>
    </w:p>
    <w:p w:rsidR="00A8343A" w:rsidRDefault="00A8343A" w:rsidP="00A8343A">
      <w:pPr>
        <w:pStyle w:val="Heading3"/>
      </w:pPr>
      <w:bookmarkStart w:id="300" w:name="_Toc16163655"/>
      <w:r>
        <w:t>Objectives</w:t>
      </w:r>
      <w:bookmarkEnd w:id="300"/>
    </w:p>
    <w:p w:rsidR="00A8343A" w:rsidRDefault="00A8343A" w:rsidP="00A8343A">
      <w:pPr>
        <w:pStyle w:val="BodyText"/>
        <w:rPr>
          <w:noProof/>
        </w:rPr>
      </w:pPr>
      <w:r>
        <w:rPr>
          <w:noProof/>
        </w:rPr>
        <w:t>By the conclusion of the course of study, students will:</w:t>
      </w:r>
    </w:p>
    <w:p w:rsidR="00A8343A" w:rsidRPr="00A60AC6" w:rsidRDefault="00A8343A" w:rsidP="00A60AC6">
      <w:pPr>
        <w:pStyle w:val="ListBullet0"/>
      </w:pPr>
      <w:r w:rsidRPr="00A60AC6">
        <w:t>demonstrate an understanding of dance concepts and skills</w:t>
      </w:r>
    </w:p>
    <w:p w:rsidR="00A8343A" w:rsidRPr="00A60AC6" w:rsidRDefault="00A8343A" w:rsidP="00A60AC6">
      <w:pPr>
        <w:pStyle w:val="ListBullet0"/>
      </w:pPr>
      <w:r w:rsidRPr="00A60AC6">
        <w:t>apply literacy skills</w:t>
      </w:r>
    </w:p>
    <w:p w:rsidR="00A8343A" w:rsidRPr="00A60AC6" w:rsidRDefault="00A8343A" w:rsidP="00A60AC6">
      <w:pPr>
        <w:pStyle w:val="ListBullet0"/>
      </w:pPr>
      <w:r w:rsidRPr="00A60AC6">
        <w:t>organise and apply the dance concepts</w:t>
      </w:r>
    </w:p>
    <w:p w:rsidR="00A8343A" w:rsidRPr="00A60AC6" w:rsidRDefault="00A8343A" w:rsidP="00A60AC6">
      <w:pPr>
        <w:pStyle w:val="ListBullet0"/>
      </w:pPr>
      <w:r w:rsidRPr="00A60AC6">
        <w:t>analyse and interpret dance concepts and skills</w:t>
      </w:r>
    </w:p>
    <w:p w:rsidR="00A8343A" w:rsidRPr="00A60AC6" w:rsidRDefault="00A8343A" w:rsidP="00A60AC6">
      <w:pPr>
        <w:pStyle w:val="ListBullet0"/>
      </w:pPr>
      <w:r w:rsidRPr="00A60AC6">
        <w:t>apply technical skills</w:t>
      </w:r>
    </w:p>
    <w:p w:rsidR="00A8343A" w:rsidRPr="00A60AC6" w:rsidRDefault="00A8343A" w:rsidP="00A60AC6">
      <w:pPr>
        <w:pStyle w:val="ListBullet0"/>
      </w:pPr>
      <w:r w:rsidRPr="00A60AC6">
        <w:t>realise meaning through expressive skills</w:t>
      </w:r>
    </w:p>
    <w:p w:rsidR="00A8343A" w:rsidRPr="00A60AC6" w:rsidRDefault="00A8343A" w:rsidP="00A60AC6">
      <w:pPr>
        <w:pStyle w:val="ListBullet0"/>
      </w:pPr>
      <w:r w:rsidRPr="00A60AC6">
        <w:t>create dance to communicate meaning</w:t>
      </w:r>
    </w:p>
    <w:p w:rsidR="00A8343A" w:rsidRDefault="00A8343A" w:rsidP="00A60AC6">
      <w:pPr>
        <w:pStyle w:val="ListBullet0"/>
        <w:sectPr w:rsidR="00A8343A" w:rsidSect="00500900">
          <w:type w:val="continuous"/>
          <w:pgSz w:w="11907" w:h="16840" w:code="9"/>
          <w:pgMar w:top="1134" w:right="1418" w:bottom="1701" w:left="1418" w:header="567" w:footer="284" w:gutter="0"/>
          <w:cols w:num="2" w:space="720"/>
          <w:formProt w:val="0"/>
          <w:noEndnote/>
          <w:docGrid w:linePitch="299"/>
        </w:sectPr>
      </w:pPr>
      <w:r w:rsidRPr="00A60AC6">
        <w:t>evaluate dance, justifying the use of dance concepts and skills.</w:t>
      </w:r>
    </w:p>
    <w:p w:rsidR="001C0252" w:rsidRDefault="001C0252" w:rsidP="005B329C">
      <w:pPr>
        <w:pStyle w:val="Heading3"/>
        <w:spacing w:before="320"/>
      </w:pPr>
      <w:bookmarkStart w:id="301" w:name="_Toc16163656"/>
      <w:r>
        <w:t>Structure</w:t>
      </w:r>
      <w:bookmarkEnd w:id="301"/>
    </w:p>
    <w:tbl>
      <w:tblPr>
        <w:tblStyle w:val="QCAAtablestyle1"/>
        <w:tblW w:w="4900" w:type="pct"/>
        <w:tblLook w:val="04A0" w:firstRow="1" w:lastRow="0" w:firstColumn="1" w:lastColumn="0" w:noHBand="0" w:noVBand="1"/>
      </w:tblPr>
      <w:tblGrid>
        <w:gridCol w:w="2219"/>
        <w:gridCol w:w="2220"/>
        <w:gridCol w:w="2220"/>
        <w:gridCol w:w="2221"/>
      </w:tblGrid>
      <w:tr w:rsidR="001C0252" w:rsidTr="00A8343A">
        <w:trPr>
          <w:cnfStyle w:val="100000000000" w:firstRow="1" w:lastRow="0" w:firstColumn="0" w:lastColumn="0" w:oddVBand="0" w:evenVBand="0" w:oddHBand="0" w:evenHBand="0" w:firstRowFirstColumn="0" w:firstRowLastColumn="0" w:lastRowFirstColumn="0" w:lastRowLastColumn="0"/>
        </w:trPr>
        <w:tc>
          <w:tcPr>
            <w:tcW w:w="2219" w:type="dxa"/>
          </w:tcPr>
          <w:p w:rsidR="001C0252" w:rsidRPr="00A8343A" w:rsidRDefault="001C0252" w:rsidP="00A8343A">
            <w:pPr>
              <w:pStyle w:val="Tableheading"/>
            </w:pPr>
            <w:r w:rsidRPr="00A8343A">
              <w:t>Unit 1</w:t>
            </w:r>
          </w:p>
        </w:tc>
        <w:tc>
          <w:tcPr>
            <w:tcW w:w="2220" w:type="dxa"/>
          </w:tcPr>
          <w:p w:rsidR="001C0252" w:rsidRPr="00A8343A" w:rsidRDefault="001C0252" w:rsidP="00A8343A">
            <w:pPr>
              <w:pStyle w:val="Tableheading"/>
            </w:pPr>
            <w:r w:rsidRPr="00A8343A">
              <w:t>Unit 2</w:t>
            </w:r>
          </w:p>
        </w:tc>
        <w:tc>
          <w:tcPr>
            <w:tcW w:w="2220" w:type="dxa"/>
          </w:tcPr>
          <w:p w:rsidR="001C0252" w:rsidRPr="00A8343A" w:rsidRDefault="001C0252" w:rsidP="00A8343A">
            <w:pPr>
              <w:pStyle w:val="Tableheading"/>
            </w:pPr>
            <w:r w:rsidRPr="00A8343A">
              <w:t>Unit 3</w:t>
            </w:r>
          </w:p>
        </w:tc>
        <w:tc>
          <w:tcPr>
            <w:tcW w:w="2221" w:type="dxa"/>
          </w:tcPr>
          <w:p w:rsidR="001C0252" w:rsidRPr="00A8343A" w:rsidRDefault="001C0252" w:rsidP="00A8343A">
            <w:pPr>
              <w:pStyle w:val="Tableheading"/>
            </w:pPr>
            <w:r w:rsidRPr="00A8343A">
              <w:t>Unit 4</w:t>
            </w:r>
          </w:p>
        </w:tc>
      </w:tr>
      <w:tr w:rsidR="00A8343A" w:rsidTr="00A8343A">
        <w:tc>
          <w:tcPr>
            <w:tcW w:w="2219" w:type="dxa"/>
            <w:shd w:val="clear" w:color="auto" w:fill="auto"/>
          </w:tcPr>
          <w:p w:rsidR="00A8343A" w:rsidRPr="00A8343A" w:rsidRDefault="00A8343A" w:rsidP="00A8343A">
            <w:pPr>
              <w:pStyle w:val="Tabletext"/>
              <w:rPr>
                <w:b/>
              </w:rPr>
            </w:pPr>
            <w:r w:rsidRPr="00A8343A">
              <w:rPr>
                <w:b/>
              </w:rPr>
              <w:t>Moving bodies</w:t>
            </w:r>
          </w:p>
          <w:p w:rsidR="00273408" w:rsidRPr="0071634A" w:rsidRDefault="00273408" w:rsidP="0071634A">
            <w:pPr>
              <w:pStyle w:val="Tabletext"/>
              <w:rPr>
                <w:rStyle w:val="TableTextChar0"/>
                <w14:numForm w14:val="default"/>
              </w:rPr>
            </w:pPr>
            <w:r w:rsidRPr="0071634A">
              <w:rPr>
                <w:rStyle w:val="TableTextChar0"/>
                <w14:numForm w14:val="default"/>
              </w:rPr>
              <w:t xml:space="preserve">How does dance communicate meaning for different purposes and in different contexts? </w:t>
            </w:r>
          </w:p>
          <w:p w:rsidR="00273408" w:rsidRPr="00AF5888" w:rsidRDefault="00273408" w:rsidP="00273408">
            <w:pPr>
              <w:pStyle w:val="TableBullet"/>
              <w:numPr>
                <w:ilvl w:val="0"/>
                <w:numId w:val="24"/>
              </w:numPr>
              <w:rPr>
                <w:b/>
              </w:rPr>
            </w:pPr>
            <w:r>
              <w:t xml:space="preserve">Genres: </w:t>
            </w:r>
          </w:p>
          <w:p w:rsidR="00273408" w:rsidRPr="00AF5888" w:rsidRDefault="00273408" w:rsidP="00273408">
            <w:pPr>
              <w:pStyle w:val="TableBullet2"/>
              <w:numPr>
                <w:ilvl w:val="1"/>
                <w:numId w:val="24"/>
              </w:numPr>
            </w:pPr>
            <w:r w:rsidRPr="00AF5888">
              <w:t xml:space="preserve">Contemporary </w:t>
            </w:r>
          </w:p>
          <w:p w:rsidR="00273408" w:rsidRPr="00AF5888" w:rsidRDefault="00273408" w:rsidP="00273408">
            <w:pPr>
              <w:pStyle w:val="TableBullet2"/>
              <w:numPr>
                <w:ilvl w:val="1"/>
                <w:numId w:val="24"/>
              </w:numPr>
            </w:pPr>
            <w:r w:rsidRPr="00AF5888">
              <w:t xml:space="preserve">at least one other genre </w:t>
            </w:r>
          </w:p>
          <w:p w:rsidR="00273408" w:rsidRPr="00AF5888" w:rsidRDefault="00273408" w:rsidP="00273408">
            <w:pPr>
              <w:pStyle w:val="TableBullet"/>
              <w:numPr>
                <w:ilvl w:val="0"/>
                <w:numId w:val="24"/>
              </w:numPr>
              <w:rPr>
                <w:b/>
              </w:rPr>
            </w:pPr>
            <w:r>
              <w:t xml:space="preserve">Subject matter: </w:t>
            </w:r>
          </w:p>
          <w:p w:rsidR="00273408" w:rsidRPr="00AF5888" w:rsidRDefault="00273408" w:rsidP="00273408">
            <w:pPr>
              <w:pStyle w:val="TableBullet2"/>
              <w:numPr>
                <w:ilvl w:val="1"/>
                <w:numId w:val="24"/>
              </w:numPr>
              <w:rPr>
                <w:b/>
              </w:rPr>
            </w:pPr>
            <w:r>
              <w:t xml:space="preserve">meaning, purpose and context </w:t>
            </w:r>
          </w:p>
          <w:p w:rsidR="00A8343A" w:rsidRPr="00A8343A" w:rsidRDefault="00273408" w:rsidP="0084271F">
            <w:pPr>
              <w:pStyle w:val="TableBullet2"/>
              <w:rPr>
                <w:b/>
              </w:rPr>
            </w:pPr>
            <w:r>
              <w:t>historical and cultural origins of focus genres</w:t>
            </w:r>
          </w:p>
        </w:tc>
        <w:tc>
          <w:tcPr>
            <w:tcW w:w="2220" w:type="dxa"/>
            <w:shd w:val="clear" w:color="auto" w:fill="auto"/>
          </w:tcPr>
          <w:p w:rsidR="00A8343A" w:rsidRDefault="00A8343A" w:rsidP="00A8343A">
            <w:pPr>
              <w:pStyle w:val="Tabletext"/>
              <w:rPr>
                <w:b/>
              </w:rPr>
            </w:pPr>
            <w:r w:rsidRPr="00A8343A">
              <w:rPr>
                <w:b/>
              </w:rPr>
              <w:t>Moving through environments</w:t>
            </w:r>
          </w:p>
          <w:p w:rsidR="00273408" w:rsidRDefault="00273408" w:rsidP="00273408">
            <w:pPr>
              <w:pStyle w:val="Tabletext"/>
            </w:pPr>
            <w:r w:rsidRPr="00BE4B19">
              <w:t>How does the integration of the environment shape dance to communicate meaning?</w:t>
            </w:r>
            <w:r>
              <w:t xml:space="preserve"> </w:t>
            </w:r>
          </w:p>
          <w:p w:rsidR="00273408" w:rsidRDefault="00273408" w:rsidP="00273408">
            <w:pPr>
              <w:pStyle w:val="TableBullet"/>
              <w:numPr>
                <w:ilvl w:val="0"/>
                <w:numId w:val="24"/>
              </w:numPr>
            </w:pPr>
            <w:r>
              <w:t xml:space="preserve">Genres: </w:t>
            </w:r>
          </w:p>
          <w:p w:rsidR="00273408" w:rsidRDefault="00273408" w:rsidP="00273408">
            <w:pPr>
              <w:pStyle w:val="TableBullet2"/>
              <w:numPr>
                <w:ilvl w:val="1"/>
                <w:numId w:val="24"/>
              </w:numPr>
            </w:pPr>
            <w:r>
              <w:t>Contemporary</w:t>
            </w:r>
          </w:p>
          <w:p w:rsidR="00273408" w:rsidRDefault="00273408" w:rsidP="00273408">
            <w:pPr>
              <w:pStyle w:val="TableBullet2"/>
              <w:numPr>
                <w:ilvl w:val="1"/>
                <w:numId w:val="24"/>
              </w:numPr>
            </w:pPr>
            <w:r>
              <w:t xml:space="preserve">at least one other genre </w:t>
            </w:r>
          </w:p>
          <w:p w:rsidR="00273408" w:rsidRDefault="00273408" w:rsidP="00273408">
            <w:pPr>
              <w:pStyle w:val="TableBullet"/>
              <w:numPr>
                <w:ilvl w:val="0"/>
                <w:numId w:val="24"/>
              </w:numPr>
            </w:pPr>
            <w:r>
              <w:t>Subject matter:</w:t>
            </w:r>
          </w:p>
          <w:p w:rsidR="00273408" w:rsidRDefault="00273408" w:rsidP="00273408">
            <w:pPr>
              <w:pStyle w:val="TableBullet2"/>
              <w:numPr>
                <w:ilvl w:val="1"/>
                <w:numId w:val="24"/>
              </w:numPr>
            </w:pPr>
            <w:r>
              <w:t>physical dance environments including site</w:t>
            </w:r>
            <w:r w:rsidR="00DC0574">
              <w:t>-</w:t>
            </w:r>
            <w:r>
              <w:t>specific dance</w:t>
            </w:r>
          </w:p>
          <w:p w:rsidR="00273408" w:rsidRPr="00273408" w:rsidRDefault="00273408" w:rsidP="00273408">
            <w:pPr>
              <w:pStyle w:val="TableBullet2"/>
              <w:numPr>
                <w:ilvl w:val="1"/>
                <w:numId w:val="24"/>
              </w:numPr>
            </w:pPr>
            <w:r>
              <w:t>virtual dance environments</w:t>
            </w:r>
          </w:p>
        </w:tc>
        <w:tc>
          <w:tcPr>
            <w:tcW w:w="2220" w:type="dxa"/>
            <w:shd w:val="clear" w:color="auto" w:fill="auto"/>
          </w:tcPr>
          <w:p w:rsidR="00A8343A" w:rsidRDefault="00A8343A" w:rsidP="00A8343A">
            <w:pPr>
              <w:pStyle w:val="Tabletext"/>
              <w:rPr>
                <w:b/>
              </w:rPr>
            </w:pPr>
            <w:r w:rsidRPr="00A8343A">
              <w:rPr>
                <w:b/>
              </w:rPr>
              <w:t>Moving statements</w:t>
            </w:r>
          </w:p>
          <w:p w:rsidR="00273408" w:rsidRDefault="00273408" w:rsidP="00273408">
            <w:pPr>
              <w:pStyle w:val="Tabletext"/>
            </w:pPr>
            <w:r>
              <w:t>How is dance used to communicate viewpoints?</w:t>
            </w:r>
          </w:p>
          <w:p w:rsidR="00273408" w:rsidRPr="004A40E3" w:rsidRDefault="00273408" w:rsidP="00273408">
            <w:pPr>
              <w:pStyle w:val="TableBullet"/>
              <w:numPr>
                <w:ilvl w:val="0"/>
                <w:numId w:val="24"/>
              </w:numPr>
              <w:rPr>
                <w:b/>
              </w:rPr>
            </w:pPr>
            <w:r>
              <w:t xml:space="preserve">Genres: </w:t>
            </w:r>
          </w:p>
          <w:p w:rsidR="00273408" w:rsidRPr="004A40E3" w:rsidRDefault="00273408" w:rsidP="00273408">
            <w:pPr>
              <w:pStyle w:val="TableBullet2"/>
              <w:numPr>
                <w:ilvl w:val="1"/>
                <w:numId w:val="24"/>
              </w:numPr>
            </w:pPr>
            <w:r w:rsidRPr="004A40E3">
              <w:t xml:space="preserve">Contemporary </w:t>
            </w:r>
          </w:p>
          <w:p w:rsidR="00273408" w:rsidRPr="004A40E3" w:rsidRDefault="00273408" w:rsidP="00273408">
            <w:pPr>
              <w:pStyle w:val="TableBullet2"/>
              <w:numPr>
                <w:ilvl w:val="1"/>
                <w:numId w:val="24"/>
              </w:numPr>
            </w:pPr>
            <w:r w:rsidRPr="004A40E3">
              <w:t xml:space="preserve">at least one other genre </w:t>
            </w:r>
          </w:p>
          <w:p w:rsidR="00273408" w:rsidRDefault="00273408" w:rsidP="00273408">
            <w:pPr>
              <w:pStyle w:val="TableBullet"/>
              <w:numPr>
                <w:ilvl w:val="0"/>
                <w:numId w:val="24"/>
              </w:numPr>
            </w:pPr>
            <w:r>
              <w:t>Subject matter:</w:t>
            </w:r>
          </w:p>
          <w:p w:rsidR="00273408" w:rsidRPr="00A8343A" w:rsidRDefault="00273408" w:rsidP="0084271F">
            <w:pPr>
              <w:pStyle w:val="TableBullet2"/>
              <w:rPr>
                <w:b/>
              </w:rPr>
            </w:pPr>
            <w:r>
              <w:t>social, political and cultural influences on dance</w:t>
            </w:r>
          </w:p>
        </w:tc>
        <w:tc>
          <w:tcPr>
            <w:tcW w:w="2221" w:type="dxa"/>
            <w:shd w:val="clear" w:color="auto" w:fill="auto"/>
          </w:tcPr>
          <w:p w:rsidR="00A8343A" w:rsidRDefault="00A8343A" w:rsidP="00A8343A">
            <w:pPr>
              <w:pStyle w:val="Tabletext"/>
              <w:rPr>
                <w:b/>
              </w:rPr>
            </w:pPr>
            <w:r w:rsidRPr="00A8343A">
              <w:rPr>
                <w:b/>
              </w:rPr>
              <w:t>Moving my way</w:t>
            </w:r>
          </w:p>
          <w:p w:rsidR="00273408" w:rsidRDefault="00273408" w:rsidP="00273408">
            <w:pPr>
              <w:pStyle w:val="Tabletext"/>
            </w:pPr>
            <w:r>
              <w:t>How does dance communicate meaning for me?</w:t>
            </w:r>
          </w:p>
          <w:p w:rsidR="00273408" w:rsidRDefault="00273408" w:rsidP="00273408">
            <w:pPr>
              <w:pStyle w:val="TableBullet"/>
              <w:numPr>
                <w:ilvl w:val="0"/>
                <w:numId w:val="24"/>
              </w:numPr>
            </w:pPr>
            <w:r>
              <w:t>Genres:</w:t>
            </w:r>
          </w:p>
          <w:p w:rsidR="00273408" w:rsidRDefault="00273408" w:rsidP="00273408">
            <w:pPr>
              <w:pStyle w:val="TableBullet2"/>
              <w:numPr>
                <w:ilvl w:val="1"/>
                <w:numId w:val="24"/>
              </w:numPr>
            </w:pPr>
            <w:r>
              <w:t>fusion of movement styles</w:t>
            </w:r>
          </w:p>
          <w:p w:rsidR="00273408" w:rsidRDefault="00273408" w:rsidP="00273408">
            <w:pPr>
              <w:pStyle w:val="TableBullet"/>
              <w:numPr>
                <w:ilvl w:val="0"/>
                <w:numId w:val="24"/>
              </w:numPr>
            </w:pPr>
            <w:r>
              <w:t xml:space="preserve">Subject matter: </w:t>
            </w:r>
          </w:p>
          <w:p w:rsidR="00273408" w:rsidRDefault="00273408" w:rsidP="00273408">
            <w:pPr>
              <w:pStyle w:val="TableBullet2"/>
              <w:numPr>
                <w:ilvl w:val="1"/>
                <w:numId w:val="24"/>
              </w:numPr>
            </w:pPr>
            <w:r>
              <w:t>developing a personal movement style</w:t>
            </w:r>
          </w:p>
          <w:p w:rsidR="00273408" w:rsidRPr="00A8343A" w:rsidRDefault="00273408" w:rsidP="0084271F">
            <w:pPr>
              <w:pStyle w:val="TableBullet2"/>
              <w:rPr>
                <w:b/>
              </w:rPr>
            </w:pPr>
            <w:r>
              <w:t>personal viewpoints and influences on genre</w:t>
            </w:r>
          </w:p>
        </w:tc>
      </w:tr>
    </w:tbl>
    <w:p w:rsidR="00A8343A" w:rsidRDefault="00A8343A" w:rsidP="00A8343A">
      <w:pPr>
        <w:pStyle w:val="Heading3"/>
      </w:pPr>
      <w:bookmarkStart w:id="302" w:name="_Toc16163657"/>
      <w:r>
        <w:t>Assessment</w:t>
      </w:r>
      <w:bookmarkEnd w:id="302"/>
    </w:p>
    <w:p w:rsidR="00A0725F" w:rsidRDefault="00A0725F" w:rsidP="00A0725F">
      <w:pPr>
        <w:pStyle w:val="BodyText"/>
      </w:pPr>
      <w:r>
        <w:t>S</w:t>
      </w:r>
      <w:r w:rsidRPr="008C3C06">
        <w:t>chools devise assessment</w:t>
      </w:r>
      <w:r>
        <w:t>s</w:t>
      </w:r>
      <w:r w:rsidRPr="008C3C06">
        <w:t xml:space="preserve"> </w:t>
      </w:r>
      <w:r>
        <w:t>i</w:t>
      </w:r>
      <w:r w:rsidRPr="008C3C06">
        <w:t>n Units 1 and 2 to suit their local context.</w:t>
      </w:r>
      <w:r>
        <w:t xml:space="preserve"> </w:t>
      </w:r>
    </w:p>
    <w:p w:rsidR="00A0725F" w:rsidRDefault="00A0725F" w:rsidP="00A0725F">
      <w:pPr>
        <w:pStyle w:val="BodyText"/>
      </w:pPr>
      <w:r>
        <w:t>I</w:t>
      </w:r>
      <w:r w:rsidRPr="008C3C06">
        <w:t xml:space="preserve">n Units 3 and 4 </w:t>
      </w:r>
      <w:r>
        <w:t>s</w:t>
      </w:r>
      <w:r w:rsidRPr="008C3C06">
        <w:t>tudents complete four summative assessments</w:t>
      </w:r>
      <w:r>
        <w:t>. The results from each of the assessments are added together to provi</w:t>
      </w:r>
      <w:r w:rsidR="00F967C3">
        <w:t xml:space="preserve">de a subject score out of 100. </w:t>
      </w:r>
      <w:r>
        <w:t>Students will also receive an overall subject result (A–E).</w:t>
      </w:r>
    </w:p>
    <w:p w:rsidR="00DE76ED" w:rsidRDefault="00DE76ED" w:rsidP="002D55F4">
      <w:pPr>
        <w:pStyle w:val="Caption"/>
        <w:rPr>
          <w:noProof/>
        </w:rPr>
      </w:pPr>
      <w:r>
        <w:t>Summative assessments</w:t>
      </w:r>
    </w:p>
    <w:tbl>
      <w:tblPr>
        <w:tblStyle w:val="QCAAtablestyle1"/>
        <w:tblW w:w="4900" w:type="pct"/>
        <w:tblLayout w:type="fixed"/>
        <w:tblLook w:val="04A0" w:firstRow="1" w:lastRow="0" w:firstColumn="1" w:lastColumn="0" w:noHBand="0" w:noVBand="1"/>
      </w:tblPr>
      <w:tblGrid>
        <w:gridCol w:w="3677"/>
        <w:gridCol w:w="704"/>
        <w:gridCol w:w="3795"/>
        <w:gridCol w:w="704"/>
      </w:tblGrid>
      <w:tr w:rsidR="009871F4" w:rsidTr="007A671F">
        <w:trPr>
          <w:cnfStyle w:val="100000000000" w:firstRow="1" w:lastRow="0" w:firstColumn="0" w:lastColumn="0" w:oddVBand="0" w:evenVBand="0" w:oddHBand="0" w:evenHBand="0" w:firstRowFirstColumn="0" w:firstRowLastColumn="0" w:lastRowFirstColumn="0" w:lastRowLastColumn="0"/>
        </w:trPr>
        <w:tc>
          <w:tcPr>
            <w:tcW w:w="4418" w:type="dxa"/>
            <w:gridSpan w:val="2"/>
          </w:tcPr>
          <w:p w:rsidR="009871F4" w:rsidRDefault="009871F4" w:rsidP="007A671F">
            <w:pPr>
              <w:pStyle w:val="Tableheading"/>
            </w:pPr>
            <w:r>
              <w:t>Unit 3</w:t>
            </w:r>
          </w:p>
        </w:tc>
        <w:tc>
          <w:tcPr>
            <w:tcW w:w="4536" w:type="dxa"/>
            <w:gridSpan w:val="2"/>
          </w:tcPr>
          <w:p w:rsidR="009871F4" w:rsidRDefault="009871F4" w:rsidP="007A671F">
            <w:pPr>
              <w:pStyle w:val="Tableheading"/>
            </w:pPr>
            <w:r>
              <w:t>Unit 4</w:t>
            </w:r>
          </w:p>
        </w:tc>
      </w:tr>
      <w:tr w:rsidR="009871F4" w:rsidTr="007A671F">
        <w:tc>
          <w:tcPr>
            <w:tcW w:w="3710" w:type="dxa"/>
          </w:tcPr>
          <w:p w:rsidR="009871F4" w:rsidRDefault="009871F4" w:rsidP="007A671F">
            <w:pPr>
              <w:pStyle w:val="Tabletext"/>
            </w:pPr>
            <w:r>
              <w:t xml:space="preserve">Summative internal assessment 1 (IA1): </w:t>
            </w:r>
          </w:p>
          <w:p w:rsidR="009871F4" w:rsidRDefault="009871F4" w:rsidP="007A671F">
            <w:pPr>
              <w:pStyle w:val="TableBullet"/>
            </w:pPr>
            <w:r>
              <w:t>Performance</w:t>
            </w:r>
          </w:p>
        </w:tc>
        <w:tc>
          <w:tcPr>
            <w:tcW w:w="708" w:type="dxa"/>
          </w:tcPr>
          <w:p w:rsidR="009871F4" w:rsidRDefault="009871F4" w:rsidP="007A671F">
            <w:pPr>
              <w:pStyle w:val="Tabletext"/>
            </w:pPr>
            <w:r>
              <w:t>20%</w:t>
            </w:r>
          </w:p>
        </w:tc>
        <w:tc>
          <w:tcPr>
            <w:tcW w:w="3828" w:type="dxa"/>
            <w:vMerge w:val="restart"/>
          </w:tcPr>
          <w:p w:rsidR="009871F4" w:rsidRDefault="009871F4" w:rsidP="007A671F">
            <w:pPr>
              <w:pStyle w:val="Tabletext"/>
            </w:pPr>
            <w:r>
              <w:t xml:space="preserve">Summative internal assessment 3 (IA3): </w:t>
            </w:r>
          </w:p>
          <w:p w:rsidR="009871F4" w:rsidRDefault="009871F4" w:rsidP="007A671F">
            <w:pPr>
              <w:pStyle w:val="TableBullet"/>
            </w:pPr>
            <w:r>
              <w:t>Project — dance work</w:t>
            </w:r>
          </w:p>
        </w:tc>
        <w:tc>
          <w:tcPr>
            <w:tcW w:w="708" w:type="dxa"/>
            <w:vMerge w:val="restart"/>
          </w:tcPr>
          <w:p w:rsidR="009871F4" w:rsidRDefault="009871F4" w:rsidP="007A671F">
            <w:pPr>
              <w:pStyle w:val="Tabletext"/>
            </w:pPr>
            <w:r>
              <w:t>35%</w:t>
            </w:r>
          </w:p>
          <w:p w:rsidR="009871F4" w:rsidRDefault="009871F4" w:rsidP="007A671F">
            <w:pPr>
              <w:pStyle w:val="Tabletext"/>
            </w:pPr>
          </w:p>
        </w:tc>
      </w:tr>
      <w:tr w:rsidR="009871F4" w:rsidTr="007A671F">
        <w:tc>
          <w:tcPr>
            <w:tcW w:w="3710" w:type="dxa"/>
          </w:tcPr>
          <w:p w:rsidR="009871F4" w:rsidRDefault="009871F4" w:rsidP="007A671F">
            <w:pPr>
              <w:pStyle w:val="Tabletext"/>
            </w:pPr>
            <w:r>
              <w:t>Summativ</w:t>
            </w:r>
            <w:r w:rsidR="00F967C3">
              <w:t xml:space="preserve">e internal assessment 2 (IA2): </w:t>
            </w:r>
          </w:p>
          <w:p w:rsidR="009871F4" w:rsidRDefault="009871F4" w:rsidP="007A671F">
            <w:pPr>
              <w:pStyle w:val="TableBullet"/>
            </w:pPr>
            <w:r>
              <w:t>Choreography</w:t>
            </w:r>
          </w:p>
        </w:tc>
        <w:tc>
          <w:tcPr>
            <w:tcW w:w="708" w:type="dxa"/>
          </w:tcPr>
          <w:p w:rsidR="009871F4" w:rsidRDefault="009871F4" w:rsidP="007A671F">
            <w:pPr>
              <w:pStyle w:val="Tabletext"/>
            </w:pPr>
            <w:r>
              <w:t>20%</w:t>
            </w:r>
          </w:p>
        </w:tc>
        <w:tc>
          <w:tcPr>
            <w:tcW w:w="3828" w:type="dxa"/>
            <w:vMerge/>
          </w:tcPr>
          <w:p w:rsidR="009871F4" w:rsidRDefault="009871F4" w:rsidP="007A671F">
            <w:pPr>
              <w:pStyle w:val="TableBullet"/>
              <w:numPr>
                <w:ilvl w:val="0"/>
                <w:numId w:val="0"/>
              </w:numPr>
              <w:ind w:left="170"/>
            </w:pPr>
          </w:p>
        </w:tc>
        <w:tc>
          <w:tcPr>
            <w:tcW w:w="708" w:type="dxa"/>
            <w:vMerge/>
          </w:tcPr>
          <w:p w:rsidR="009871F4" w:rsidRDefault="009871F4" w:rsidP="007A671F">
            <w:pPr>
              <w:pStyle w:val="Tabletext"/>
            </w:pPr>
          </w:p>
        </w:tc>
      </w:tr>
      <w:tr w:rsidR="009871F4" w:rsidTr="007A671F">
        <w:tc>
          <w:tcPr>
            <w:tcW w:w="8954" w:type="dxa"/>
            <w:gridSpan w:val="4"/>
          </w:tcPr>
          <w:p w:rsidR="009871F4" w:rsidRDefault="009871F4" w:rsidP="009C0607">
            <w:pPr>
              <w:pStyle w:val="Tabletext"/>
              <w:jc w:val="center"/>
            </w:pPr>
            <w:r>
              <w:t>Summative external assessment (EA): 25%</w:t>
            </w:r>
          </w:p>
          <w:p w:rsidR="009871F4" w:rsidRDefault="009871F4" w:rsidP="009C0607">
            <w:pPr>
              <w:pStyle w:val="TableBullet"/>
              <w:jc w:val="center"/>
            </w:pPr>
            <w:r>
              <w:t>Examination — extended response</w:t>
            </w:r>
          </w:p>
        </w:tc>
      </w:tr>
    </w:tbl>
    <w:p w:rsidR="00A8343A" w:rsidRDefault="00A8343A" w:rsidP="00A8343A">
      <w:pPr>
        <w:pStyle w:val="BodyText"/>
        <w:spacing w:before="120"/>
        <w:rPr>
          <w:noProof/>
        </w:rPr>
      </w:pPr>
    </w:p>
    <w:p w:rsidR="00A8343A" w:rsidRDefault="00A8343A" w:rsidP="00A8343A">
      <w:r>
        <w:br w:type="page"/>
      </w:r>
    </w:p>
    <w:tbl>
      <w:tblPr>
        <w:tblStyle w:val="TextLayout"/>
        <w:tblW w:w="5650" w:type="pct"/>
        <w:tblInd w:w="-170" w:type="dxa"/>
        <w:tblLayout w:type="fixed"/>
        <w:tblLook w:val="04A0" w:firstRow="1" w:lastRow="0" w:firstColumn="1" w:lastColumn="0" w:noHBand="0" w:noVBand="1"/>
      </w:tblPr>
      <w:tblGrid>
        <w:gridCol w:w="141"/>
        <w:gridCol w:w="9264"/>
        <w:gridCol w:w="845"/>
      </w:tblGrid>
      <w:tr w:rsidR="001F0BA2" w:rsidRPr="003B6F39" w:rsidTr="002037BC">
        <w:trPr>
          <w:trHeight w:hRule="exact" w:val="851"/>
        </w:trPr>
        <w:tc>
          <w:tcPr>
            <w:tcW w:w="142" w:type="dxa"/>
            <w:shd w:val="clear" w:color="auto" w:fill="6858A9"/>
          </w:tcPr>
          <w:p w:rsidR="001F0BA2" w:rsidRDefault="001F0BA2" w:rsidP="002037BC">
            <w:pPr>
              <w:pStyle w:val="Tabletext"/>
            </w:pPr>
          </w:p>
        </w:tc>
        <w:tc>
          <w:tcPr>
            <w:tcW w:w="9323" w:type="dxa"/>
            <w:tcMar>
              <w:left w:w="57" w:type="dxa"/>
            </w:tcMar>
            <w:vAlign w:val="center"/>
          </w:tcPr>
          <w:p w:rsidR="001F0BA2" w:rsidRDefault="001F0BA2" w:rsidP="00F601D0">
            <w:pPr>
              <w:pStyle w:val="SubjectHeading"/>
            </w:pPr>
            <w:r>
              <w:t>Drama</w:t>
            </w:r>
          </w:p>
          <w:p w:rsidR="001F0BA2" w:rsidRPr="00E86C01" w:rsidRDefault="001F0BA2" w:rsidP="002037BC">
            <w:pPr>
              <w:pStyle w:val="Heading3"/>
              <w:spacing w:before="0" w:after="0"/>
            </w:pPr>
            <w:bookmarkStart w:id="303" w:name="_Toc16163658"/>
            <w:r>
              <w:t>General senior subject</w:t>
            </w:r>
            <w:bookmarkEnd w:id="303"/>
          </w:p>
        </w:tc>
        <w:tc>
          <w:tcPr>
            <w:tcW w:w="850" w:type="dxa"/>
            <w:shd w:val="clear" w:color="auto" w:fill="6858A9"/>
            <w:tcMar>
              <w:bottom w:w="28" w:type="dxa"/>
              <w:right w:w="57" w:type="dxa"/>
            </w:tcMar>
            <w:vAlign w:val="bottom"/>
          </w:tcPr>
          <w:p w:rsidR="001F0BA2" w:rsidRPr="007642FE" w:rsidRDefault="001F0BA2" w:rsidP="002037BC">
            <w:pPr>
              <w:pStyle w:val="Heading3"/>
              <w:spacing w:before="0" w:after="100" w:afterAutospacing="1"/>
              <w:jc w:val="right"/>
              <w:rPr>
                <w:color w:val="FFFFFF" w:themeColor="background1"/>
                <w:sz w:val="17"/>
                <w:szCs w:val="17"/>
              </w:rPr>
            </w:pPr>
            <w:bookmarkStart w:id="304" w:name="_Toc16163659"/>
            <w:r>
              <w:rPr>
                <w:color w:val="FFFFFF" w:themeColor="background1"/>
                <w:sz w:val="17"/>
                <w:szCs w:val="17"/>
              </w:rPr>
              <w:t>General</w:t>
            </w:r>
            <w:bookmarkEnd w:id="304"/>
          </w:p>
        </w:tc>
      </w:tr>
      <w:tr w:rsidR="001F0BA2" w:rsidRPr="003B6F39" w:rsidTr="002037BC">
        <w:trPr>
          <w:trHeight w:hRule="exact" w:val="113"/>
        </w:trPr>
        <w:tc>
          <w:tcPr>
            <w:tcW w:w="10315" w:type="dxa"/>
            <w:gridSpan w:val="3"/>
            <w:shd w:val="clear" w:color="auto" w:fill="auto"/>
          </w:tcPr>
          <w:p w:rsidR="001F0BA2" w:rsidRPr="00E86C01" w:rsidRDefault="001F0BA2" w:rsidP="002037BC">
            <w:pPr>
              <w:pStyle w:val="Smallspace"/>
            </w:pPr>
          </w:p>
        </w:tc>
      </w:tr>
    </w:tbl>
    <w:p w:rsidR="00A8343A" w:rsidRDefault="00A8343A" w:rsidP="001C0252">
      <w:pPr>
        <w:pStyle w:val="BodyText"/>
        <w:spacing w:before="120"/>
        <w:rPr>
          <w:noProof/>
        </w:rPr>
        <w:sectPr w:rsidR="00A8343A" w:rsidSect="00500900">
          <w:headerReference w:type="default" r:id="rId40"/>
          <w:type w:val="continuous"/>
          <w:pgSz w:w="11907" w:h="16840" w:code="9"/>
          <w:pgMar w:top="1134" w:right="1418" w:bottom="1701" w:left="1418" w:header="567" w:footer="284" w:gutter="0"/>
          <w:cols w:space="720"/>
          <w:formProt w:val="0"/>
          <w:noEndnote/>
          <w:docGrid w:linePitch="299"/>
        </w:sectPr>
      </w:pPr>
    </w:p>
    <w:p w:rsidR="00A8343A" w:rsidRDefault="00A8343A">
      <w:pPr>
        <w:pStyle w:val="BodyText"/>
      </w:pPr>
      <w:r w:rsidRPr="00A8343A">
        <w:t xml:space="preserve">Drama </w:t>
      </w:r>
      <w:r w:rsidR="00942AD8">
        <w:t>fosters</w:t>
      </w:r>
      <w:r w:rsidR="00061B88">
        <w:t xml:space="preserve"> creative and expressive communication. </w:t>
      </w:r>
      <w:r w:rsidR="003B440C">
        <w:t>It</w:t>
      </w:r>
      <w:r w:rsidR="00061B88">
        <w:t xml:space="preserve"> interrogates the human experience by investigating, communicating and embodying stories, experiences, emotions and ideas that reflect the human experience. It engages students in imaginative meaning-making processes and involves them using a range of artistic skills as they make and respond to dramatic works</w:t>
      </w:r>
      <w:r w:rsidRPr="00A8343A">
        <w:t xml:space="preserve">. </w:t>
      </w:r>
    </w:p>
    <w:p w:rsidR="00061B88" w:rsidRDefault="00061B88">
      <w:pPr>
        <w:pStyle w:val="BodyText"/>
      </w:pPr>
      <w:r>
        <w:t>Students experience, reflect on, understand, communicate, collaborate and appreciate different perspectives of themselves, others and the world in which they live. They learn about the dramatic languages and how these contribute to the creation, interpretation and critique of dramatic action and meaning for a range of purposes. They study a range of forms, styles and their conventions in a variety of inherited traditions, current practice and emerging trends, including those from different cultures and contexts.</w:t>
      </w:r>
    </w:p>
    <w:p w:rsidR="00061B88" w:rsidRPr="00A8343A" w:rsidRDefault="00061B88">
      <w:pPr>
        <w:pStyle w:val="BodyText"/>
      </w:pPr>
      <w:r>
        <w:t xml:space="preserve">Students learn how to engage with dramatic works as both artists and audience through the use of critical literacies. The study of drama develops students’ knowledge, skills and understanding in the making of and responding to dramatic works to help them realise their creative and expressive potential as individuals. Students learn to pose and solve problems, </w:t>
      </w:r>
      <w:r w:rsidR="00621530">
        <w:t xml:space="preserve">and </w:t>
      </w:r>
      <w:r>
        <w:t xml:space="preserve">work independently and </w:t>
      </w:r>
      <w:r w:rsidR="00621530">
        <w:t>collaboratively</w:t>
      </w:r>
      <w:r>
        <w:t>.</w:t>
      </w:r>
    </w:p>
    <w:p w:rsidR="00A8343A" w:rsidRPr="00A8343A" w:rsidRDefault="00A8343A" w:rsidP="00A8343A">
      <w:pPr>
        <w:keepNext/>
        <w:keepLines/>
        <w:spacing w:before="240" w:after="120"/>
        <w:outlineLvl w:val="2"/>
        <w:rPr>
          <w:b/>
          <w:color w:val="6D6F71"/>
          <w:sz w:val="28"/>
          <w:szCs w:val="28"/>
        </w:rPr>
      </w:pPr>
      <w:bookmarkStart w:id="305" w:name="_Toc16163660"/>
      <w:r w:rsidRPr="00A8343A">
        <w:rPr>
          <w:b/>
          <w:color w:val="6D6F71"/>
          <w:sz w:val="28"/>
          <w:szCs w:val="28"/>
        </w:rPr>
        <w:t>Pathways</w:t>
      </w:r>
      <w:bookmarkEnd w:id="305"/>
    </w:p>
    <w:p w:rsidR="00A8343A" w:rsidRPr="00A8343A" w:rsidRDefault="00A8343A" w:rsidP="00A8343A">
      <w:pPr>
        <w:pStyle w:val="BodyText"/>
      </w:pPr>
      <w:r w:rsidRPr="00A8343A">
        <w:t>A course of study in Drama can establish a basis for further education and employment in the field of drama</w:t>
      </w:r>
      <w:r w:rsidR="00621530">
        <w:t>,</w:t>
      </w:r>
      <w:r w:rsidRPr="00A8343A">
        <w:t xml:space="preserve"> and to broader areas in creative industries and cultural institutions</w:t>
      </w:r>
      <w:r w:rsidR="00621530">
        <w:t>,</w:t>
      </w:r>
      <w:r w:rsidRPr="00A8343A">
        <w:t xml:space="preserve"> including arts administration and management, communication, education, public relations, research and science and technology.</w:t>
      </w:r>
    </w:p>
    <w:p w:rsidR="00A8343A" w:rsidRPr="00A8343A" w:rsidRDefault="00A8343A" w:rsidP="00A8343A">
      <w:pPr>
        <w:keepNext/>
        <w:keepLines/>
        <w:spacing w:before="240" w:after="120"/>
        <w:outlineLvl w:val="2"/>
        <w:rPr>
          <w:b/>
          <w:color w:val="6D6F71"/>
          <w:sz w:val="28"/>
          <w:szCs w:val="28"/>
        </w:rPr>
      </w:pPr>
      <w:bookmarkStart w:id="306" w:name="_Toc16163661"/>
      <w:r w:rsidRPr="00A8343A">
        <w:rPr>
          <w:b/>
          <w:color w:val="6D6F71"/>
          <w:sz w:val="28"/>
          <w:szCs w:val="28"/>
        </w:rPr>
        <w:t>Objectives</w:t>
      </w:r>
      <w:bookmarkEnd w:id="306"/>
    </w:p>
    <w:p w:rsidR="00007284" w:rsidRDefault="00007284" w:rsidP="00007284">
      <w:pPr>
        <w:pStyle w:val="BodyText"/>
        <w:rPr>
          <w:noProof/>
        </w:rPr>
      </w:pPr>
      <w:r>
        <w:rPr>
          <w:noProof/>
        </w:rPr>
        <w:t>By the conclusion of the course of study, students will:</w:t>
      </w:r>
    </w:p>
    <w:p w:rsidR="00007284" w:rsidRPr="00A60AC6" w:rsidRDefault="00007284" w:rsidP="00A60AC6">
      <w:pPr>
        <w:pStyle w:val="ListBullet0"/>
      </w:pPr>
      <w:r w:rsidRPr="00A60AC6">
        <w:t>demonstrate an understanding of dramatic languages</w:t>
      </w:r>
    </w:p>
    <w:p w:rsidR="00007284" w:rsidRPr="00A60AC6" w:rsidRDefault="00007284" w:rsidP="00A60AC6">
      <w:pPr>
        <w:pStyle w:val="ListBullet0"/>
      </w:pPr>
      <w:r w:rsidRPr="00A60AC6">
        <w:t>apply literacy skills</w:t>
      </w:r>
    </w:p>
    <w:p w:rsidR="00007284" w:rsidRPr="00A60AC6" w:rsidRDefault="00007284" w:rsidP="00A60AC6">
      <w:pPr>
        <w:pStyle w:val="ListBullet0"/>
      </w:pPr>
      <w:r w:rsidRPr="00A60AC6">
        <w:t>apply and structure dramatic languages</w:t>
      </w:r>
    </w:p>
    <w:p w:rsidR="00007284" w:rsidRPr="00A60AC6" w:rsidRDefault="00007284" w:rsidP="00A60AC6">
      <w:pPr>
        <w:pStyle w:val="ListBullet0"/>
      </w:pPr>
      <w:r w:rsidRPr="00A60AC6">
        <w:t>analyse how dramatic languages are used to create dramatic action and meaning</w:t>
      </w:r>
    </w:p>
    <w:p w:rsidR="00007284" w:rsidRPr="00A60AC6" w:rsidRDefault="00007284" w:rsidP="00A60AC6">
      <w:pPr>
        <w:pStyle w:val="ListBullet0"/>
      </w:pPr>
      <w:r w:rsidRPr="00A60AC6">
        <w:t>interpret purpose, context and text to communicate dramatic meaning</w:t>
      </w:r>
    </w:p>
    <w:p w:rsidR="00007284" w:rsidRPr="00A60AC6" w:rsidRDefault="00007284" w:rsidP="00A60AC6">
      <w:pPr>
        <w:pStyle w:val="ListBullet0"/>
      </w:pPr>
      <w:r w:rsidRPr="00A60AC6">
        <w:t>manipulate dramatic languages to create dramatic action and meaning</w:t>
      </w:r>
    </w:p>
    <w:p w:rsidR="00007284" w:rsidRPr="00A60AC6" w:rsidRDefault="00007284" w:rsidP="00A60AC6">
      <w:pPr>
        <w:pStyle w:val="ListBullet0"/>
      </w:pPr>
      <w:r w:rsidRPr="00A60AC6">
        <w:t>evaluate and justify the use of dramatic languages to communicate dramatic meaning</w:t>
      </w:r>
    </w:p>
    <w:p w:rsidR="00007284" w:rsidRPr="00A60AC6" w:rsidRDefault="00007284" w:rsidP="00A60AC6">
      <w:pPr>
        <w:pStyle w:val="ListBullet0"/>
      </w:pPr>
      <w:r w:rsidRPr="00A60AC6">
        <w:t>synthesise and argue a position about dramatic action and meaning.</w:t>
      </w:r>
    </w:p>
    <w:p w:rsidR="00A8343A" w:rsidRDefault="00A8343A" w:rsidP="001C0252">
      <w:pPr>
        <w:pStyle w:val="Heading3"/>
        <w:sectPr w:rsidR="00A8343A" w:rsidSect="00500900">
          <w:type w:val="continuous"/>
          <w:pgSz w:w="11907" w:h="16840" w:code="9"/>
          <w:pgMar w:top="1134" w:right="1418" w:bottom="1701" w:left="1418" w:header="567" w:footer="284" w:gutter="0"/>
          <w:cols w:num="2" w:space="720"/>
          <w:formProt w:val="0"/>
          <w:noEndnote/>
          <w:docGrid w:linePitch="299"/>
        </w:sectPr>
      </w:pPr>
    </w:p>
    <w:p w:rsidR="001C0252" w:rsidRDefault="001C0252" w:rsidP="001C0252">
      <w:pPr>
        <w:pStyle w:val="Heading3"/>
      </w:pPr>
      <w:bookmarkStart w:id="307" w:name="_Toc16163662"/>
      <w:r>
        <w:t>Structure</w:t>
      </w:r>
      <w:bookmarkEnd w:id="307"/>
    </w:p>
    <w:tbl>
      <w:tblPr>
        <w:tblStyle w:val="QCAAtablestyle1"/>
        <w:tblW w:w="4900" w:type="pct"/>
        <w:tblLook w:val="04A0" w:firstRow="1" w:lastRow="0" w:firstColumn="1" w:lastColumn="0" w:noHBand="0" w:noVBand="1"/>
      </w:tblPr>
      <w:tblGrid>
        <w:gridCol w:w="2219"/>
        <w:gridCol w:w="2220"/>
        <w:gridCol w:w="2220"/>
        <w:gridCol w:w="2221"/>
      </w:tblGrid>
      <w:tr w:rsidR="001C0252" w:rsidRPr="00A8343A" w:rsidTr="00A8343A">
        <w:trPr>
          <w:cnfStyle w:val="100000000000" w:firstRow="1" w:lastRow="0" w:firstColumn="0" w:lastColumn="0" w:oddVBand="0" w:evenVBand="0" w:oddHBand="0" w:evenHBand="0" w:firstRowFirstColumn="0" w:firstRowLastColumn="0" w:lastRowFirstColumn="0" w:lastRowLastColumn="0"/>
        </w:trPr>
        <w:tc>
          <w:tcPr>
            <w:tcW w:w="2219" w:type="dxa"/>
          </w:tcPr>
          <w:p w:rsidR="001C0252" w:rsidRPr="00A8343A" w:rsidRDefault="001C0252" w:rsidP="00A8343A">
            <w:pPr>
              <w:pStyle w:val="Tableheading"/>
            </w:pPr>
            <w:r w:rsidRPr="00A8343A">
              <w:t>Unit 1</w:t>
            </w:r>
          </w:p>
        </w:tc>
        <w:tc>
          <w:tcPr>
            <w:tcW w:w="2220" w:type="dxa"/>
          </w:tcPr>
          <w:p w:rsidR="001C0252" w:rsidRPr="00A8343A" w:rsidRDefault="001C0252" w:rsidP="00A8343A">
            <w:pPr>
              <w:pStyle w:val="Tableheading"/>
            </w:pPr>
            <w:r w:rsidRPr="00A8343A">
              <w:t>Unit 2</w:t>
            </w:r>
          </w:p>
        </w:tc>
        <w:tc>
          <w:tcPr>
            <w:tcW w:w="2220" w:type="dxa"/>
          </w:tcPr>
          <w:p w:rsidR="001C0252" w:rsidRPr="00A8343A" w:rsidRDefault="001C0252" w:rsidP="00A8343A">
            <w:pPr>
              <w:pStyle w:val="Tableheading"/>
            </w:pPr>
            <w:r w:rsidRPr="00A8343A">
              <w:t>Unit 3</w:t>
            </w:r>
          </w:p>
        </w:tc>
        <w:tc>
          <w:tcPr>
            <w:tcW w:w="2221" w:type="dxa"/>
          </w:tcPr>
          <w:p w:rsidR="001C0252" w:rsidRPr="00A8343A" w:rsidRDefault="001C0252" w:rsidP="00A8343A">
            <w:pPr>
              <w:pStyle w:val="Tableheading"/>
            </w:pPr>
            <w:r w:rsidRPr="00A8343A">
              <w:t>Unit 4</w:t>
            </w:r>
          </w:p>
        </w:tc>
      </w:tr>
      <w:tr w:rsidR="00A8343A" w:rsidTr="00A8343A">
        <w:tc>
          <w:tcPr>
            <w:tcW w:w="2219" w:type="dxa"/>
            <w:shd w:val="clear" w:color="auto" w:fill="auto"/>
          </w:tcPr>
          <w:p w:rsidR="00A8343A" w:rsidRDefault="00A8343A" w:rsidP="00A8343A">
            <w:pPr>
              <w:pStyle w:val="Tabletext"/>
              <w:rPr>
                <w:b/>
              </w:rPr>
            </w:pPr>
            <w:r w:rsidRPr="00A8343A">
              <w:rPr>
                <w:b/>
              </w:rPr>
              <w:t>Share</w:t>
            </w:r>
          </w:p>
          <w:p w:rsidR="0038778E" w:rsidRDefault="0038778E" w:rsidP="0038778E">
            <w:pPr>
              <w:pStyle w:val="TableText0"/>
            </w:pPr>
            <w:r>
              <w:t xml:space="preserve">How does drama promote shared understandings of the human experience? </w:t>
            </w:r>
          </w:p>
          <w:p w:rsidR="0038778E" w:rsidRDefault="0038778E" w:rsidP="0038778E">
            <w:pPr>
              <w:pStyle w:val="TableBullet"/>
            </w:pPr>
            <w:r>
              <w:t xml:space="preserve">cultural inheritances of storytelling </w:t>
            </w:r>
          </w:p>
          <w:p w:rsidR="0038778E" w:rsidRDefault="0038778E" w:rsidP="0038778E">
            <w:pPr>
              <w:pStyle w:val="TableBullet"/>
            </w:pPr>
            <w:r>
              <w:t>oral history and emerging practices</w:t>
            </w:r>
          </w:p>
          <w:p w:rsidR="0038778E" w:rsidRPr="00A8343A" w:rsidRDefault="0038778E" w:rsidP="0038778E">
            <w:pPr>
              <w:pStyle w:val="TableBullet"/>
              <w:rPr>
                <w:b/>
              </w:rPr>
            </w:pPr>
            <w:r>
              <w:t>a range of linear and non-linear forms</w:t>
            </w:r>
          </w:p>
        </w:tc>
        <w:tc>
          <w:tcPr>
            <w:tcW w:w="2220" w:type="dxa"/>
            <w:shd w:val="clear" w:color="auto" w:fill="auto"/>
          </w:tcPr>
          <w:p w:rsidR="00A8343A" w:rsidRDefault="00A8343A" w:rsidP="00A8343A">
            <w:pPr>
              <w:pStyle w:val="Tabletext"/>
              <w:rPr>
                <w:b/>
              </w:rPr>
            </w:pPr>
            <w:r w:rsidRPr="00A8343A">
              <w:rPr>
                <w:b/>
              </w:rPr>
              <w:t>Reflect</w:t>
            </w:r>
          </w:p>
          <w:p w:rsidR="0038778E" w:rsidRPr="0038778E" w:rsidRDefault="0038778E" w:rsidP="0038778E">
            <w:pPr>
              <w:pStyle w:val="Tabletext"/>
            </w:pPr>
            <w:r w:rsidRPr="0038778E">
              <w:t xml:space="preserve">How is drama shaped to reflect lived experience? </w:t>
            </w:r>
          </w:p>
          <w:p w:rsidR="0038778E" w:rsidRDefault="0038778E" w:rsidP="0038778E">
            <w:pPr>
              <w:pStyle w:val="TableBullet"/>
            </w:pPr>
            <w:r>
              <w:t>Realism, including Magical Realism, Australian Gothic</w:t>
            </w:r>
          </w:p>
          <w:p w:rsidR="0038778E" w:rsidRPr="00A8343A" w:rsidRDefault="0038778E" w:rsidP="0038778E">
            <w:pPr>
              <w:pStyle w:val="TableBullet"/>
              <w:rPr>
                <w:b/>
              </w:rPr>
            </w:pPr>
            <w:r>
              <w:t>associated conventions of styles and texts</w:t>
            </w:r>
          </w:p>
        </w:tc>
        <w:tc>
          <w:tcPr>
            <w:tcW w:w="2220" w:type="dxa"/>
            <w:shd w:val="clear" w:color="auto" w:fill="auto"/>
          </w:tcPr>
          <w:p w:rsidR="00A8343A" w:rsidRDefault="00A8343A" w:rsidP="00A8343A">
            <w:pPr>
              <w:pStyle w:val="Tabletext"/>
              <w:rPr>
                <w:b/>
              </w:rPr>
            </w:pPr>
            <w:r w:rsidRPr="00A8343A">
              <w:rPr>
                <w:b/>
              </w:rPr>
              <w:t>Challenge</w:t>
            </w:r>
          </w:p>
          <w:p w:rsidR="0038778E" w:rsidRDefault="0038778E" w:rsidP="0038778E">
            <w:pPr>
              <w:pStyle w:val="TableText0"/>
            </w:pPr>
            <w:r>
              <w:t xml:space="preserve">How can we use drama to challenge our understanding of humanity? </w:t>
            </w:r>
          </w:p>
          <w:p w:rsidR="0038778E" w:rsidRDefault="0038778E" w:rsidP="0038778E">
            <w:pPr>
              <w:pStyle w:val="TableBullet"/>
            </w:pPr>
            <w:r>
              <w:t xml:space="preserve">Theatre of Social Comment, including Theatre of the Absurd and Epic Theatre </w:t>
            </w:r>
          </w:p>
          <w:p w:rsidR="0038778E" w:rsidRPr="00A8343A" w:rsidRDefault="0038778E" w:rsidP="0038778E">
            <w:pPr>
              <w:pStyle w:val="TableBullet"/>
              <w:rPr>
                <w:b/>
              </w:rPr>
            </w:pPr>
            <w:r>
              <w:t>associated conventions of styles and texts</w:t>
            </w:r>
          </w:p>
        </w:tc>
        <w:tc>
          <w:tcPr>
            <w:tcW w:w="2221" w:type="dxa"/>
            <w:shd w:val="clear" w:color="auto" w:fill="auto"/>
          </w:tcPr>
          <w:p w:rsidR="00A8343A" w:rsidRDefault="00A8343A" w:rsidP="00A8343A">
            <w:pPr>
              <w:pStyle w:val="Tabletext"/>
              <w:rPr>
                <w:b/>
              </w:rPr>
            </w:pPr>
            <w:r w:rsidRPr="00A8343A">
              <w:rPr>
                <w:b/>
              </w:rPr>
              <w:t>Transform</w:t>
            </w:r>
          </w:p>
          <w:p w:rsidR="0038778E" w:rsidRPr="0038778E" w:rsidRDefault="0038778E" w:rsidP="0038778E">
            <w:pPr>
              <w:pStyle w:val="Tabletext"/>
            </w:pPr>
            <w:r w:rsidRPr="0038778E">
              <w:t>How can you transform dramatic practice?</w:t>
            </w:r>
          </w:p>
          <w:p w:rsidR="0038778E" w:rsidRDefault="0038778E" w:rsidP="0038778E">
            <w:pPr>
              <w:pStyle w:val="TableBullet"/>
            </w:pPr>
            <w:r>
              <w:t xml:space="preserve">Contemporary performance </w:t>
            </w:r>
          </w:p>
          <w:p w:rsidR="0038778E" w:rsidRDefault="0038778E" w:rsidP="0038778E">
            <w:pPr>
              <w:pStyle w:val="TableBullet"/>
            </w:pPr>
            <w:r>
              <w:t xml:space="preserve">associated conventions of styles and texts </w:t>
            </w:r>
          </w:p>
          <w:p w:rsidR="0038778E" w:rsidRPr="00A8343A" w:rsidRDefault="0038778E" w:rsidP="0084271F">
            <w:pPr>
              <w:pStyle w:val="TableBullet"/>
              <w:rPr>
                <w:b/>
              </w:rPr>
            </w:pPr>
            <w:r>
              <w:t>inherited texts as stimulus</w:t>
            </w:r>
          </w:p>
        </w:tc>
      </w:tr>
    </w:tbl>
    <w:p w:rsidR="001C0252" w:rsidRDefault="001C0252" w:rsidP="0038778E">
      <w:pPr>
        <w:pStyle w:val="Heading3"/>
      </w:pPr>
      <w:bookmarkStart w:id="308" w:name="_Toc16163663"/>
      <w:r>
        <w:t>Assessment</w:t>
      </w:r>
      <w:bookmarkEnd w:id="308"/>
    </w:p>
    <w:p w:rsidR="00A0725F" w:rsidRDefault="00A0725F" w:rsidP="00A0725F">
      <w:pPr>
        <w:pStyle w:val="BodyText"/>
      </w:pPr>
      <w:r>
        <w:t>S</w:t>
      </w:r>
      <w:r w:rsidRPr="008C3C06">
        <w:t>chools devise assessment</w:t>
      </w:r>
      <w:r>
        <w:t>s</w:t>
      </w:r>
      <w:r w:rsidRPr="008C3C06">
        <w:t xml:space="preserve"> </w:t>
      </w:r>
      <w:r>
        <w:t>i</w:t>
      </w:r>
      <w:r w:rsidRPr="008C3C06">
        <w:t>n Units 1 and 2 to suit their local context.</w:t>
      </w:r>
      <w:r>
        <w:t xml:space="preserve"> </w:t>
      </w:r>
    </w:p>
    <w:p w:rsidR="00A0725F" w:rsidRDefault="00A0725F" w:rsidP="00A0725F">
      <w:pPr>
        <w:pStyle w:val="BodyText"/>
      </w:pPr>
      <w:r>
        <w:t>I</w:t>
      </w:r>
      <w:r w:rsidRPr="008C3C06">
        <w:t xml:space="preserve">n Units 3 and 4 </w:t>
      </w:r>
      <w:r>
        <w:t>s</w:t>
      </w:r>
      <w:r w:rsidRPr="008C3C06">
        <w:t>tudents complete four summative assessments</w:t>
      </w:r>
      <w:r>
        <w:t>. The results from each of the assessments are added together to provi</w:t>
      </w:r>
      <w:r w:rsidR="005A202C">
        <w:t xml:space="preserve">de a subject score out of 100. </w:t>
      </w:r>
      <w:r>
        <w:t>Students will also receive an overall subject result (A–E).</w:t>
      </w:r>
    </w:p>
    <w:p w:rsidR="00DE76ED" w:rsidRDefault="00DE76ED" w:rsidP="002D55F4">
      <w:pPr>
        <w:pStyle w:val="Caption"/>
        <w:rPr>
          <w:noProof/>
        </w:rPr>
      </w:pPr>
      <w:r>
        <w:t>Summative assessments</w:t>
      </w:r>
    </w:p>
    <w:tbl>
      <w:tblPr>
        <w:tblStyle w:val="QCAAtablestyle1"/>
        <w:tblW w:w="4900" w:type="pct"/>
        <w:tblLayout w:type="fixed"/>
        <w:tblLook w:val="04A0" w:firstRow="1" w:lastRow="0" w:firstColumn="1" w:lastColumn="0" w:noHBand="0" w:noVBand="1"/>
      </w:tblPr>
      <w:tblGrid>
        <w:gridCol w:w="3677"/>
        <w:gridCol w:w="704"/>
        <w:gridCol w:w="3795"/>
        <w:gridCol w:w="704"/>
      </w:tblGrid>
      <w:tr w:rsidR="00061B88" w:rsidTr="007A671F">
        <w:trPr>
          <w:cnfStyle w:val="100000000000" w:firstRow="1" w:lastRow="0" w:firstColumn="0" w:lastColumn="0" w:oddVBand="0" w:evenVBand="0" w:oddHBand="0" w:evenHBand="0" w:firstRowFirstColumn="0" w:firstRowLastColumn="0" w:lastRowFirstColumn="0" w:lastRowLastColumn="0"/>
        </w:trPr>
        <w:tc>
          <w:tcPr>
            <w:tcW w:w="4418" w:type="dxa"/>
            <w:gridSpan w:val="2"/>
          </w:tcPr>
          <w:p w:rsidR="00061B88" w:rsidRDefault="00061B88" w:rsidP="00953319">
            <w:pPr>
              <w:pStyle w:val="Tableheading"/>
            </w:pPr>
            <w:r>
              <w:t>Unit 3</w:t>
            </w:r>
          </w:p>
        </w:tc>
        <w:tc>
          <w:tcPr>
            <w:tcW w:w="4536" w:type="dxa"/>
            <w:gridSpan w:val="2"/>
          </w:tcPr>
          <w:p w:rsidR="00061B88" w:rsidRDefault="00061B88" w:rsidP="00953319">
            <w:pPr>
              <w:pStyle w:val="Tableheading"/>
            </w:pPr>
            <w:r>
              <w:t>Unit 4</w:t>
            </w:r>
          </w:p>
        </w:tc>
      </w:tr>
      <w:tr w:rsidR="00061B88" w:rsidTr="007A671F">
        <w:tc>
          <w:tcPr>
            <w:tcW w:w="3710" w:type="dxa"/>
          </w:tcPr>
          <w:p w:rsidR="00061B88" w:rsidRDefault="00061B88" w:rsidP="00953319">
            <w:pPr>
              <w:pStyle w:val="Tabletext"/>
            </w:pPr>
            <w:r>
              <w:t xml:space="preserve">Summative internal assessment 1 (IA1): </w:t>
            </w:r>
          </w:p>
          <w:p w:rsidR="00061B88" w:rsidRDefault="00061B88" w:rsidP="00953319">
            <w:pPr>
              <w:pStyle w:val="TableBullet"/>
            </w:pPr>
            <w:r>
              <w:t>Performance</w:t>
            </w:r>
          </w:p>
        </w:tc>
        <w:tc>
          <w:tcPr>
            <w:tcW w:w="708" w:type="dxa"/>
          </w:tcPr>
          <w:p w:rsidR="00061B88" w:rsidRDefault="00061B88" w:rsidP="00953319">
            <w:pPr>
              <w:pStyle w:val="Tabletext"/>
            </w:pPr>
            <w:r>
              <w:t>20%</w:t>
            </w:r>
          </w:p>
        </w:tc>
        <w:tc>
          <w:tcPr>
            <w:tcW w:w="3828" w:type="dxa"/>
            <w:vMerge w:val="restart"/>
          </w:tcPr>
          <w:p w:rsidR="00061B88" w:rsidRDefault="00061B88" w:rsidP="00953319">
            <w:pPr>
              <w:pStyle w:val="Tabletext"/>
            </w:pPr>
            <w:r>
              <w:t xml:space="preserve">Summative internal assessment 3 (IA3): </w:t>
            </w:r>
          </w:p>
          <w:p w:rsidR="00061B88" w:rsidRDefault="00061B88" w:rsidP="00953319">
            <w:pPr>
              <w:pStyle w:val="TableBullet"/>
            </w:pPr>
            <w:r>
              <w:t>Project — practice</w:t>
            </w:r>
            <w:r w:rsidR="00810E84">
              <w:t>-</w:t>
            </w:r>
            <w:r>
              <w:t>led project</w:t>
            </w:r>
          </w:p>
        </w:tc>
        <w:tc>
          <w:tcPr>
            <w:tcW w:w="708" w:type="dxa"/>
            <w:vMerge w:val="restart"/>
          </w:tcPr>
          <w:p w:rsidR="00061B88" w:rsidRDefault="00061B88" w:rsidP="00953319">
            <w:pPr>
              <w:pStyle w:val="Tabletext"/>
            </w:pPr>
            <w:r>
              <w:t>35%</w:t>
            </w:r>
          </w:p>
          <w:p w:rsidR="00061B88" w:rsidRDefault="00061B88" w:rsidP="00953319">
            <w:pPr>
              <w:pStyle w:val="Tabletext"/>
            </w:pPr>
          </w:p>
        </w:tc>
      </w:tr>
      <w:tr w:rsidR="00061B88" w:rsidTr="007A671F">
        <w:tc>
          <w:tcPr>
            <w:tcW w:w="3710" w:type="dxa"/>
          </w:tcPr>
          <w:p w:rsidR="00061B88" w:rsidRDefault="00061B88" w:rsidP="00953319">
            <w:pPr>
              <w:pStyle w:val="Tabletext"/>
            </w:pPr>
            <w:r>
              <w:t>Summativ</w:t>
            </w:r>
            <w:r w:rsidR="005A202C">
              <w:t xml:space="preserve">e internal assessment 2 (IA2): </w:t>
            </w:r>
          </w:p>
          <w:p w:rsidR="00061B88" w:rsidRDefault="00061B88" w:rsidP="00953319">
            <w:pPr>
              <w:pStyle w:val="TableBullet"/>
            </w:pPr>
            <w:r>
              <w:t>Project — dramatic concept</w:t>
            </w:r>
          </w:p>
        </w:tc>
        <w:tc>
          <w:tcPr>
            <w:tcW w:w="708" w:type="dxa"/>
          </w:tcPr>
          <w:p w:rsidR="00061B88" w:rsidRDefault="00061B88" w:rsidP="00953319">
            <w:pPr>
              <w:pStyle w:val="Tabletext"/>
            </w:pPr>
            <w:r>
              <w:t>20%</w:t>
            </w:r>
          </w:p>
        </w:tc>
        <w:tc>
          <w:tcPr>
            <w:tcW w:w="3828" w:type="dxa"/>
            <w:vMerge/>
          </w:tcPr>
          <w:p w:rsidR="00061B88" w:rsidRDefault="00061B88" w:rsidP="00953319">
            <w:pPr>
              <w:pStyle w:val="TableBullet"/>
              <w:numPr>
                <w:ilvl w:val="0"/>
                <w:numId w:val="0"/>
              </w:numPr>
              <w:ind w:left="170"/>
            </w:pPr>
          </w:p>
        </w:tc>
        <w:tc>
          <w:tcPr>
            <w:tcW w:w="708" w:type="dxa"/>
            <w:vMerge/>
          </w:tcPr>
          <w:p w:rsidR="00061B88" w:rsidRDefault="00061B88" w:rsidP="00953319">
            <w:pPr>
              <w:pStyle w:val="Tabletext"/>
            </w:pPr>
          </w:p>
        </w:tc>
      </w:tr>
      <w:tr w:rsidR="009871F4" w:rsidTr="007A671F">
        <w:tc>
          <w:tcPr>
            <w:tcW w:w="8954" w:type="dxa"/>
            <w:gridSpan w:val="4"/>
          </w:tcPr>
          <w:p w:rsidR="009871F4" w:rsidRDefault="009871F4" w:rsidP="005A202C">
            <w:pPr>
              <w:pStyle w:val="Tabletext"/>
              <w:jc w:val="center"/>
            </w:pPr>
            <w:r>
              <w:t>Summative external assessment (EA): 25%</w:t>
            </w:r>
          </w:p>
          <w:p w:rsidR="009871F4" w:rsidRDefault="009871F4" w:rsidP="005A202C">
            <w:pPr>
              <w:pStyle w:val="TableBullet"/>
              <w:jc w:val="center"/>
            </w:pPr>
            <w:r>
              <w:t>Examination — extended response</w:t>
            </w:r>
          </w:p>
        </w:tc>
      </w:tr>
    </w:tbl>
    <w:p w:rsidR="00061B88" w:rsidRDefault="00061B88" w:rsidP="00061B88"/>
    <w:p w:rsidR="00061B88" w:rsidRDefault="00061B88" w:rsidP="00061B88">
      <w:r>
        <w:br w:type="page"/>
      </w:r>
    </w:p>
    <w:tbl>
      <w:tblPr>
        <w:tblStyle w:val="TextLayout"/>
        <w:tblW w:w="5650" w:type="pct"/>
        <w:tblInd w:w="-170" w:type="dxa"/>
        <w:tblLayout w:type="fixed"/>
        <w:tblLook w:val="04A0" w:firstRow="1" w:lastRow="0" w:firstColumn="1" w:lastColumn="0" w:noHBand="0" w:noVBand="1"/>
      </w:tblPr>
      <w:tblGrid>
        <w:gridCol w:w="141"/>
        <w:gridCol w:w="9264"/>
        <w:gridCol w:w="845"/>
      </w:tblGrid>
      <w:tr w:rsidR="001F0BA2" w:rsidRPr="003B6F39" w:rsidTr="002037BC">
        <w:trPr>
          <w:trHeight w:hRule="exact" w:val="851"/>
        </w:trPr>
        <w:tc>
          <w:tcPr>
            <w:tcW w:w="142" w:type="dxa"/>
            <w:shd w:val="clear" w:color="auto" w:fill="6858A9"/>
          </w:tcPr>
          <w:p w:rsidR="001F0BA2" w:rsidRDefault="001F0BA2" w:rsidP="002037BC">
            <w:pPr>
              <w:pStyle w:val="Tabletext"/>
            </w:pPr>
          </w:p>
        </w:tc>
        <w:tc>
          <w:tcPr>
            <w:tcW w:w="9323" w:type="dxa"/>
            <w:tcMar>
              <w:left w:w="57" w:type="dxa"/>
            </w:tcMar>
            <w:vAlign w:val="center"/>
          </w:tcPr>
          <w:p w:rsidR="001F0BA2" w:rsidRDefault="001F0BA2" w:rsidP="00F601D0">
            <w:pPr>
              <w:pStyle w:val="SubjectHeading"/>
            </w:pPr>
            <w:r>
              <w:t>Film, Television &amp; New Media</w:t>
            </w:r>
          </w:p>
          <w:p w:rsidR="001F0BA2" w:rsidRPr="00E86C01" w:rsidRDefault="001F0BA2" w:rsidP="002037BC">
            <w:pPr>
              <w:pStyle w:val="Heading3"/>
              <w:spacing w:before="0" w:after="0"/>
            </w:pPr>
            <w:bookmarkStart w:id="309" w:name="_Toc16163664"/>
            <w:r>
              <w:t>General senior subject</w:t>
            </w:r>
            <w:bookmarkEnd w:id="309"/>
          </w:p>
        </w:tc>
        <w:tc>
          <w:tcPr>
            <w:tcW w:w="850" w:type="dxa"/>
            <w:shd w:val="clear" w:color="auto" w:fill="6858A9"/>
            <w:tcMar>
              <w:bottom w:w="28" w:type="dxa"/>
              <w:right w:w="57" w:type="dxa"/>
            </w:tcMar>
            <w:vAlign w:val="bottom"/>
          </w:tcPr>
          <w:p w:rsidR="001F0BA2" w:rsidRPr="007642FE" w:rsidRDefault="001F0BA2" w:rsidP="002037BC">
            <w:pPr>
              <w:pStyle w:val="Heading3"/>
              <w:spacing w:before="0" w:after="100" w:afterAutospacing="1"/>
              <w:jc w:val="right"/>
              <w:rPr>
                <w:color w:val="FFFFFF" w:themeColor="background1"/>
                <w:sz w:val="17"/>
                <w:szCs w:val="17"/>
              </w:rPr>
            </w:pPr>
            <w:bookmarkStart w:id="310" w:name="_Toc16163665"/>
            <w:r>
              <w:rPr>
                <w:color w:val="FFFFFF" w:themeColor="background1"/>
                <w:sz w:val="17"/>
                <w:szCs w:val="17"/>
              </w:rPr>
              <w:t>General</w:t>
            </w:r>
            <w:bookmarkEnd w:id="310"/>
          </w:p>
        </w:tc>
      </w:tr>
      <w:tr w:rsidR="001F0BA2" w:rsidRPr="003B6F39" w:rsidTr="002037BC">
        <w:trPr>
          <w:trHeight w:hRule="exact" w:val="113"/>
        </w:trPr>
        <w:tc>
          <w:tcPr>
            <w:tcW w:w="10315" w:type="dxa"/>
            <w:gridSpan w:val="3"/>
            <w:shd w:val="clear" w:color="auto" w:fill="auto"/>
          </w:tcPr>
          <w:p w:rsidR="001F0BA2" w:rsidRPr="00E86C01" w:rsidRDefault="001F0BA2" w:rsidP="002037BC">
            <w:pPr>
              <w:pStyle w:val="Smallspace"/>
            </w:pPr>
          </w:p>
        </w:tc>
      </w:tr>
    </w:tbl>
    <w:p w:rsidR="00DF2541" w:rsidRDefault="00DF2541" w:rsidP="00FF51D2">
      <w:pPr>
        <w:pStyle w:val="BodyText"/>
        <w:sectPr w:rsidR="00DF2541" w:rsidSect="00500900">
          <w:headerReference w:type="default" r:id="rId41"/>
          <w:type w:val="continuous"/>
          <w:pgSz w:w="11907" w:h="16840" w:code="9"/>
          <w:pgMar w:top="1134" w:right="1418" w:bottom="1701" w:left="1418" w:header="567" w:footer="284" w:gutter="0"/>
          <w:cols w:space="720"/>
          <w:formProt w:val="0"/>
          <w:noEndnote/>
          <w:docGrid w:linePitch="299"/>
        </w:sectPr>
      </w:pPr>
    </w:p>
    <w:p w:rsidR="00DF2541" w:rsidRDefault="003B440C" w:rsidP="008C3C06">
      <w:pPr>
        <w:pStyle w:val="BodyText"/>
      </w:pPr>
      <w:r w:rsidRPr="008C3C06">
        <w:t>Film, Television &amp; New Media</w:t>
      </w:r>
      <w:r>
        <w:t xml:space="preserve"> fosters creative and expressive communication. It</w:t>
      </w:r>
      <w:r w:rsidR="00FF51D2" w:rsidRPr="008C3C06">
        <w:t xml:space="preserve"> </w:t>
      </w:r>
      <w:r w:rsidR="00942AD8">
        <w:t>explores</w:t>
      </w:r>
      <w:r w:rsidR="00953319">
        <w:t xml:space="preserve"> </w:t>
      </w:r>
      <w:r w:rsidR="00DF2541">
        <w:t xml:space="preserve">the </w:t>
      </w:r>
      <w:r w:rsidR="00FF51D2" w:rsidRPr="007E64B8">
        <w:t>five key concepts</w:t>
      </w:r>
      <w:r w:rsidR="00DF2541">
        <w:t xml:space="preserve"> of </w:t>
      </w:r>
      <w:r w:rsidR="00FF51D2" w:rsidRPr="008C3C06">
        <w:t xml:space="preserve">technologies, representations, audiences, institutions and languages. </w:t>
      </w:r>
    </w:p>
    <w:p w:rsidR="00DF2541" w:rsidRDefault="00FF51D2" w:rsidP="008C3C06">
      <w:pPr>
        <w:pStyle w:val="BodyText"/>
      </w:pPr>
      <w:r w:rsidRPr="008C3C06">
        <w:t xml:space="preserve">Students </w:t>
      </w:r>
      <w:r w:rsidR="00DF2541">
        <w:t xml:space="preserve">learn about film, television and new media as our primary sources of information and entertainment. They understand that </w:t>
      </w:r>
      <w:r w:rsidR="005958F8" w:rsidRPr="005958F8">
        <w:t>film, television and new media</w:t>
      </w:r>
      <w:r w:rsidR="00DF2541">
        <w:t xml:space="preserve"> are important channels for educational and cultural exchange</w:t>
      </w:r>
      <w:r w:rsidR="00A55687">
        <w:t>,</w:t>
      </w:r>
      <w:r w:rsidR="00DF2541">
        <w:t xml:space="preserve"> and are fundamental to </w:t>
      </w:r>
      <w:r w:rsidR="00A55687">
        <w:t xml:space="preserve">our </w:t>
      </w:r>
      <w:r w:rsidR="00DF2541">
        <w:t xml:space="preserve">self-expression and representation </w:t>
      </w:r>
      <w:r w:rsidR="00A55687">
        <w:t xml:space="preserve">as </w:t>
      </w:r>
      <w:r w:rsidR="00DF2541">
        <w:t xml:space="preserve">individuals and </w:t>
      </w:r>
      <w:r w:rsidR="00A55687">
        <w:t xml:space="preserve">as </w:t>
      </w:r>
      <w:r w:rsidR="00DF2541">
        <w:t xml:space="preserve">communities. </w:t>
      </w:r>
    </w:p>
    <w:p w:rsidR="00FF51D2" w:rsidRPr="008C3C06" w:rsidRDefault="00DF2541" w:rsidP="008C3C06">
      <w:pPr>
        <w:pStyle w:val="BodyText"/>
      </w:pPr>
      <w:r>
        <w:t xml:space="preserve">Students </w:t>
      </w:r>
      <w:r w:rsidR="00FF51D2" w:rsidRPr="008C3C06">
        <w:t>creatively apply film, television and new media key concepts to individually and collaboratively make moving</w:t>
      </w:r>
      <w:r>
        <w:t xml:space="preserve">-image media products, and </w:t>
      </w:r>
      <w:r w:rsidR="00FF51D2" w:rsidRPr="008C3C06">
        <w:t>investigate and respond to moving-image media content and production contexts.</w:t>
      </w:r>
      <w:r>
        <w:t xml:space="preserve"> S</w:t>
      </w:r>
      <w:r w:rsidR="00FF51D2" w:rsidRPr="008C3C06">
        <w:t xml:space="preserve">tudents </w:t>
      </w:r>
      <w:r>
        <w:t>d</w:t>
      </w:r>
      <w:r w:rsidR="00FF51D2" w:rsidRPr="008C3C06">
        <w:t>evelop a respect for diverse perspectives and a critical awareness of the expressive, functional and creative potential of moving-image media in a diverse range of global contexts.</w:t>
      </w:r>
      <w:r>
        <w:t xml:space="preserve"> They</w:t>
      </w:r>
      <w:r w:rsidR="00FF51D2" w:rsidRPr="008C3C06">
        <w:t xml:space="preserve"> develop knowledge and skills in creative thinking, communication, collaboration, planning, critical analysis, and digital and ethical citizenship. </w:t>
      </w:r>
    </w:p>
    <w:p w:rsidR="001C0252" w:rsidRDefault="001C0252" w:rsidP="001C0252">
      <w:pPr>
        <w:pStyle w:val="Heading3"/>
      </w:pPr>
      <w:bookmarkStart w:id="311" w:name="_Toc16163666"/>
      <w:r>
        <w:t>Pathways</w:t>
      </w:r>
      <w:bookmarkEnd w:id="311"/>
    </w:p>
    <w:p w:rsidR="00DF2541" w:rsidRPr="008C3C06" w:rsidRDefault="00DF2541" w:rsidP="008C3C06">
      <w:pPr>
        <w:pStyle w:val="BodyText"/>
      </w:pPr>
      <w:r w:rsidRPr="008C3C06">
        <w:t>A course of study in Film, Television &amp; New</w:t>
      </w:r>
      <w:r w:rsidR="00A415C6">
        <w:t> </w:t>
      </w:r>
      <w:r w:rsidRPr="008C3C06">
        <w:t>Media can establish a basis for further education and employment in the fields of information technologies, creative industries, cultural </w:t>
      </w:r>
      <w:r w:rsidRPr="008C3C06">
        <w:rPr>
          <w:rStyle w:val="crossreference0"/>
        </w:rPr>
        <w:t>institutions</w:t>
      </w:r>
      <w:r w:rsidRPr="008C3C06">
        <w:t>, and diverse fields that use skills inherent in the subject</w:t>
      </w:r>
      <w:r w:rsidR="00A55687">
        <w:t>,</w:t>
      </w:r>
      <w:r w:rsidRPr="008C3C06">
        <w:t xml:space="preserve"> including advertising, arts administration and management, communication, design, education, </w:t>
      </w:r>
      <w:r>
        <w:t>film and television</w:t>
      </w:r>
      <w:r w:rsidR="00A55687">
        <w:t>,</w:t>
      </w:r>
      <w:r>
        <w:t xml:space="preserve"> and public relations</w:t>
      </w:r>
      <w:r w:rsidRPr="008C3C06">
        <w:t>.</w:t>
      </w:r>
    </w:p>
    <w:p w:rsidR="001C0252" w:rsidRDefault="001C0252" w:rsidP="001C0252">
      <w:pPr>
        <w:pStyle w:val="Heading3"/>
      </w:pPr>
      <w:bookmarkStart w:id="312" w:name="_Toc16163667"/>
      <w:r>
        <w:t>Objectives</w:t>
      </w:r>
      <w:bookmarkEnd w:id="312"/>
    </w:p>
    <w:p w:rsidR="00DF2541" w:rsidRDefault="00DF2541" w:rsidP="00DF2541">
      <w:pPr>
        <w:pStyle w:val="BodyText"/>
        <w:rPr>
          <w:noProof/>
        </w:rPr>
      </w:pPr>
      <w:r>
        <w:rPr>
          <w:noProof/>
        </w:rPr>
        <w:t>By the conclusion of the course of study, students will:</w:t>
      </w:r>
    </w:p>
    <w:p w:rsidR="00DF2541" w:rsidRPr="00A60AC6" w:rsidRDefault="00DF2541" w:rsidP="00A60AC6">
      <w:pPr>
        <w:pStyle w:val="ListBullet0"/>
      </w:pPr>
      <w:r w:rsidRPr="00A60AC6">
        <w:t>explain the features of moving-image media content and practices</w:t>
      </w:r>
    </w:p>
    <w:p w:rsidR="00DF2541" w:rsidRPr="00A60AC6" w:rsidRDefault="00DF2541" w:rsidP="00A60AC6">
      <w:pPr>
        <w:pStyle w:val="ListBullet0"/>
      </w:pPr>
      <w:r w:rsidRPr="00A60AC6">
        <w:t>symbolise conceptual ideas and stories</w:t>
      </w:r>
    </w:p>
    <w:p w:rsidR="00DF2541" w:rsidRPr="00A60AC6" w:rsidRDefault="00DF2541" w:rsidP="00A60AC6">
      <w:pPr>
        <w:pStyle w:val="ListBullet0"/>
      </w:pPr>
      <w:r w:rsidRPr="00A60AC6">
        <w:t>construct proposals and construct moving-image media products</w:t>
      </w:r>
    </w:p>
    <w:p w:rsidR="00DF2541" w:rsidRPr="00A60AC6" w:rsidRDefault="00DF2541" w:rsidP="00A60AC6">
      <w:pPr>
        <w:pStyle w:val="ListBullet0"/>
      </w:pPr>
      <w:r w:rsidRPr="00A60AC6">
        <w:t>apply literacy skills</w:t>
      </w:r>
    </w:p>
    <w:p w:rsidR="00DF2541" w:rsidRPr="00A60AC6" w:rsidRDefault="00DF2541" w:rsidP="00A60AC6">
      <w:pPr>
        <w:pStyle w:val="ListBullet0"/>
      </w:pPr>
      <w:r w:rsidRPr="00A60AC6">
        <w:t>analyse moving-image products and contexts of production and use</w:t>
      </w:r>
    </w:p>
    <w:p w:rsidR="00DF2541" w:rsidRPr="00A60AC6" w:rsidRDefault="00DF2541" w:rsidP="00A60AC6">
      <w:pPr>
        <w:pStyle w:val="ListBullet0"/>
      </w:pPr>
      <w:r w:rsidRPr="00A60AC6">
        <w:t>structure visual, audio and text elements to make moving-image media products</w:t>
      </w:r>
    </w:p>
    <w:p w:rsidR="00DF2541" w:rsidRPr="00A60AC6" w:rsidRDefault="00DF2541" w:rsidP="00A60AC6">
      <w:pPr>
        <w:pStyle w:val="ListBullet0"/>
      </w:pPr>
      <w:r w:rsidRPr="00A60AC6">
        <w:t>experiment with ideas for moving-image media products</w:t>
      </w:r>
    </w:p>
    <w:p w:rsidR="00DF2541" w:rsidRPr="00A60AC6" w:rsidRDefault="00DF2541" w:rsidP="00A60AC6">
      <w:pPr>
        <w:pStyle w:val="ListBullet0"/>
      </w:pPr>
      <w:r w:rsidRPr="00A60AC6">
        <w:t>appraise film, television and new media products, practices and viewpoints</w:t>
      </w:r>
    </w:p>
    <w:p w:rsidR="00DF2541" w:rsidRPr="00A60AC6" w:rsidRDefault="00DF2541" w:rsidP="00A60AC6">
      <w:pPr>
        <w:pStyle w:val="ListBullet0"/>
      </w:pPr>
      <w:r w:rsidRPr="00A60AC6">
        <w:t>synthesise visual, audio and text elements to solve conceptual and creative problems.</w:t>
      </w:r>
    </w:p>
    <w:p w:rsidR="00DF2541" w:rsidRDefault="00DF2541" w:rsidP="001C0252">
      <w:pPr>
        <w:pStyle w:val="Heading3"/>
        <w:rPr>
          <w:noProof/>
        </w:rPr>
        <w:sectPr w:rsidR="00DF2541" w:rsidSect="00500900">
          <w:type w:val="continuous"/>
          <w:pgSz w:w="11907" w:h="16840" w:code="9"/>
          <w:pgMar w:top="1134" w:right="1418" w:bottom="1701" w:left="1418" w:header="567" w:footer="284" w:gutter="0"/>
          <w:cols w:num="2" w:space="720"/>
          <w:formProt w:val="0"/>
          <w:noEndnote/>
          <w:docGrid w:linePitch="299"/>
        </w:sectPr>
      </w:pPr>
    </w:p>
    <w:p w:rsidR="0033181F" w:rsidRPr="00F93310" w:rsidRDefault="0033181F" w:rsidP="0033181F">
      <w:pPr>
        <w:rPr>
          <w:sz w:val="8"/>
        </w:rPr>
      </w:pPr>
    </w:p>
    <w:p w:rsidR="001C0252" w:rsidRDefault="001C0252" w:rsidP="001C0252">
      <w:pPr>
        <w:pStyle w:val="Heading3"/>
      </w:pPr>
      <w:bookmarkStart w:id="313" w:name="_Toc16163668"/>
      <w:r>
        <w:t>Structure</w:t>
      </w:r>
      <w:bookmarkEnd w:id="313"/>
    </w:p>
    <w:tbl>
      <w:tblPr>
        <w:tblStyle w:val="QCAAtablestyle1"/>
        <w:tblW w:w="4900" w:type="pct"/>
        <w:tblLook w:val="04A0" w:firstRow="1" w:lastRow="0" w:firstColumn="1" w:lastColumn="0" w:noHBand="0" w:noVBand="1"/>
      </w:tblPr>
      <w:tblGrid>
        <w:gridCol w:w="2211"/>
        <w:gridCol w:w="2229"/>
        <w:gridCol w:w="2210"/>
        <w:gridCol w:w="2230"/>
      </w:tblGrid>
      <w:tr w:rsidR="001C0252" w:rsidTr="00083261">
        <w:trPr>
          <w:cnfStyle w:val="100000000000" w:firstRow="1" w:lastRow="0" w:firstColumn="0" w:lastColumn="0" w:oddVBand="0" w:evenVBand="0" w:oddHBand="0" w:evenHBand="0" w:firstRowFirstColumn="0" w:firstRowLastColumn="0" w:lastRowFirstColumn="0" w:lastRowLastColumn="0"/>
        </w:trPr>
        <w:tc>
          <w:tcPr>
            <w:tcW w:w="2275" w:type="dxa"/>
          </w:tcPr>
          <w:p w:rsidR="001C0252" w:rsidRDefault="001C0252" w:rsidP="00D45578">
            <w:pPr>
              <w:pStyle w:val="TableHeading0"/>
            </w:pPr>
            <w:r>
              <w:t>Unit 1</w:t>
            </w:r>
          </w:p>
        </w:tc>
        <w:tc>
          <w:tcPr>
            <w:tcW w:w="2275" w:type="dxa"/>
          </w:tcPr>
          <w:p w:rsidR="001C0252" w:rsidRDefault="001C0252" w:rsidP="00D45578">
            <w:pPr>
              <w:pStyle w:val="TableHeading0"/>
            </w:pPr>
            <w:r>
              <w:t>Unit 2</w:t>
            </w:r>
          </w:p>
        </w:tc>
        <w:tc>
          <w:tcPr>
            <w:tcW w:w="2275" w:type="dxa"/>
          </w:tcPr>
          <w:p w:rsidR="001C0252" w:rsidRDefault="001C0252" w:rsidP="00D45578">
            <w:pPr>
              <w:pStyle w:val="TableHeading0"/>
            </w:pPr>
            <w:r>
              <w:t>Unit 3</w:t>
            </w:r>
          </w:p>
        </w:tc>
        <w:tc>
          <w:tcPr>
            <w:tcW w:w="2276" w:type="dxa"/>
          </w:tcPr>
          <w:p w:rsidR="001C0252" w:rsidRDefault="001C0252" w:rsidP="00D45578">
            <w:pPr>
              <w:pStyle w:val="TableHeading0"/>
            </w:pPr>
            <w:r>
              <w:t>Unit 4</w:t>
            </w:r>
          </w:p>
        </w:tc>
      </w:tr>
      <w:tr w:rsidR="001C0252" w:rsidTr="008C3C06">
        <w:tc>
          <w:tcPr>
            <w:tcW w:w="0" w:type="dxa"/>
            <w:shd w:val="clear" w:color="auto" w:fill="auto"/>
          </w:tcPr>
          <w:p w:rsidR="001C0252" w:rsidRDefault="00DF2541" w:rsidP="008C3C06">
            <w:pPr>
              <w:pStyle w:val="Tableheading"/>
            </w:pPr>
            <w:r>
              <w:t>Foundation</w:t>
            </w:r>
          </w:p>
          <w:p w:rsidR="00347404" w:rsidRDefault="0001008C" w:rsidP="0001008C">
            <w:pPr>
              <w:pStyle w:val="TableBullet"/>
              <w:rPr>
                <w:rStyle w:val="TableBulletChar"/>
              </w:rPr>
            </w:pPr>
            <w:r w:rsidRPr="0001008C">
              <w:rPr>
                <w:rStyle w:val="TableBulletChar"/>
              </w:rPr>
              <w:t xml:space="preserve">Concept: technologies </w:t>
            </w:r>
          </w:p>
          <w:p w:rsidR="0001008C" w:rsidRPr="0001008C" w:rsidRDefault="0001008C" w:rsidP="0084271F">
            <w:pPr>
              <w:pStyle w:val="Tabletext"/>
            </w:pPr>
            <w:r w:rsidRPr="0001008C">
              <w:rPr>
                <w:rStyle w:val="TableBulletChar"/>
              </w:rPr>
              <w:t>How are tools and associated processes used to create meaning?</w:t>
            </w:r>
            <w:r w:rsidRPr="0001008C">
              <w:t xml:space="preserve"> </w:t>
            </w:r>
          </w:p>
          <w:p w:rsidR="00347404" w:rsidRDefault="0001008C" w:rsidP="0001008C">
            <w:pPr>
              <w:pStyle w:val="TableBullet"/>
            </w:pPr>
            <w:r w:rsidRPr="0001008C">
              <w:t xml:space="preserve">Concept: institutions </w:t>
            </w:r>
          </w:p>
          <w:p w:rsidR="0001008C" w:rsidRPr="0001008C" w:rsidRDefault="0001008C" w:rsidP="0084271F">
            <w:pPr>
              <w:pStyle w:val="Tabletext"/>
            </w:pPr>
            <w:r w:rsidRPr="0001008C">
              <w:t>How are institutional</w:t>
            </w:r>
            <w:r w:rsidRPr="0001008C">
              <w:rPr>
                <w:b/>
              </w:rPr>
              <w:t xml:space="preserve"> </w:t>
            </w:r>
            <w:r w:rsidRPr="0001008C">
              <w:t>practices influenced by social, political</w:t>
            </w:r>
            <w:r>
              <w:t xml:space="preserve"> </w:t>
            </w:r>
            <w:r w:rsidRPr="0001008C">
              <w:t>and economic factors?</w:t>
            </w:r>
          </w:p>
          <w:p w:rsidR="00347404" w:rsidRDefault="0001008C" w:rsidP="0001008C">
            <w:pPr>
              <w:pStyle w:val="TableBullet"/>
            </w:pPr>
            <w:r w:rsidRPr="0001008C">
              <w:t xml:space="preserve">Concept: languages </w:t>
            </w:r>
          </w:p>
          <w:p w:rsidR="0038778E" w:rsidRDefault="0001008C" w:rsidP="0084271F">
            <w:pPr>
              <w:pStyle w:val="Tabletext"/>
            </w:pPr>
            <w:r w:rsidRPr="0001008C">
              <w:t>How do signs and symbols, codes and conventions create meaning?</w:t>
            </w:r>
          </w:p>
        </w:tc>
        <w:tc>
          <w:tcPr>
            <w:tcW w:w="0" w:type="dxa"/>
            <w:shd w:val="clear" w:color="auto" w:fill="auto"/>
          </w:tcPr>
          <w:p w:rsidR="001C0252" w:rsidRDefault="00DF2541" w:rsidP="008C3C06">
            <w:pPr>
              <w:pStyle w:val="TableHeading0"/>
            </w:pPr>
            <w:r>
              <w:t>Story forms</w:t>
            </w:r>
          </w:p>
          <w:p w:rsidR="00347404" w:rsidRDefault="0001008C" w:rsidP="0001008C">
            <w:pPr>
              <w:pStyle w:val="TableBullet"/>
              <w:rPr>
                <w:rStyle w:val="TableBulletChar"/>
              </w:rPr>
            </w:pPr>
            <w:r w:rsidRPr="0001008C">
              <w:rPr>
                <w:rStyle w:val="TableBulletChar"/>
              </w:rPr>
              <w:t xml:space="preserve">Concept: representations </w:t>
            </w:r>
          </w:p>
          <w:p w:rsidR="0001008C" w:rsidRDefault="0001008C" w:rsidP="0084271F">
            <w:pPr>
              <w:pStyle w:val="Tabletext"/>
              <w:rPr>
                <w:rStyle w:val="TableBulletChar"/>
              </w:rPr>
            </w:pPr>
            <w:r w:rsidRPr="0001008C">
              <w:rPr>
                <w:rStyle w:val="TableBulletChar"/>
              </w:rPr>
              <w:t>How do representat</w:t>
            </w:r>
            <w:r>
              <w:rPr>
                <w:rStyle w:val="TableBulletChar"/>
              </w:rPr>
              <w:t>ions function in story forms?</w:t>
            </w:r>
          </w:p>
          <w:p w:rsidR="00347404" w:rsidRDefault="0001008C" w:rsidP="0001008C">
            <w:pPr>
              <w:pStyle w:val="TableBullet"/>
              <w:rPr>
                <w:rStyle w:val="TableBulletChar"/>
              </w:rPr>
            </w:pPr>
            <w:r w:rsidRPr="0001008C">
              <w:rPr>
                <w:rStyle w:val="TableBulletChar"/>
              </w:rPr>
              <w:t xml:space="preserve">Concept: audiences </w:t>
            </w:r>
          </w:p>
          <w:p w:rsidR="0001008C" w:rsidRDefault="0001008C" w:rsidP="0084271F">
            <w:pPr>
              <w:pStyle w:val="Tabletext"/>
              <w:rPr>
                <w:rStyle w:val="TableBulletChar"/>
              </w:rPr>
            </w:pPr>
            <w:r w:rsidRPr="0001008C">
              <w:rPr>
                <w:rStyle w:val="TableBulletChar"/>
              </w:rPr>
              <w:t>How does the relationship between story forms and meaning change</w:t>
            </w:r>
            <w:r>
              <w:t xml:space="preserve"> in different c</w:t>
            </w:r>
            <w:r>
              <w:rPr>
                <w:rStyle w:val="TableBulletChar"/>
              </w:rPr>
              <w:t xml:space="preserve">ontexts? </w:t>
            </w:r>
          </w:p>
          <w:p w:rsidR="00347404" w:rsidRDefault="0001008C" w:rsidP="0001008C">
            <w:pPr>
              <w:pStyle w:val="TableBullet"/>
              <w:rPr>
                <w:rStyle w:val="TableBulletChar"/>
              </w:rPr>
            </w:pPr>
            <w:r w:rsidRPr="0001008C">
              <w:rPr>
                <w:rStyle w:val="TableBulletChar"/>
              </w:rPr>
              <w:t xml:space="preserve">Concept: languages </w:t>
            </w:r>
          </w:p>
          <w:p w:rsidR="0001008C" w:rsidRDefault="0001008C" w:rsidP="0084271F">
            <w:pPr>
              <w:pStyle w:val="Tabletext"/>
            </w:pPr>
            <w:r w:rsidRPr="0001008C">
              <w:rPr>
                <w:rStyle w:val="TableBulletChar"/>
              </w:rPr>
              <w:t>How are media languages used to construct stories?</w:t>
            </w:r>
          </w:p>
        </w:tc>
        <w:tc>
          <w:tcPr>
            <w:tcW w:w="0" w:type="dxa"/>
            <w:shd w:val="clear" w:color="auto" w:fill="auto"/>
          </w:tcPr>
          <w:p w:rsidR="001C0252" w:rsidRPr="0001008C" w:rsidRDefault="00DF2541" w:rsidP="008C3C06">
            <w:pPr>
              <w:pStyle w:val="Tableheading"/>
            </w:pPr>
            <w:r w:rsidRPr="0001008C">
              <w:t>Participation</w:t>
            </w:r>
          </w:p>
          <w:p w:rsidR="00FB5F16" w:rsidRDefault="0001008C" w:rsidP="0001008C">
            <w:pPr>
              <w:pStyle w:val="TableBullet"/>
            </w:pPr>
            <w:r w:rsidRPr="0001008C">
              <w:t xml:space="preserve">Concept: technologies </w:t>
            </w:r>
          </w:p>
          <w:p w:rsidR="00FB5F16" w:rsidRDefault="0001008C" w:rsidP="00FB5F16">
            <w:pPr>
              <w:pStyle w:val="Tabletext"/>
            </w:pPr>
            <w:r w:rsidRPr="00FB5F16">
              <w:rPr>
                <w:rStyle w:val="TabletextChar"/>
              </w:rPr>
              <w:t>How do technologies enable or constrain participation?</w:t>
            </w:r>
          </w:p>
          <w:p w:rsidR="00FB5F16" w:rsidRDefault="00FB5F16" w:rsidP="00FB5F16">
            <w:pPr>
              <w:pStyle w:val="TableBullet"/>
            </w:pPr>
            <w:r>
              <w:t>Concept: audiences</w:t>
            </w:r>
          </w:p>
          <w:p w:rsidR="0001008C" w:rsidRDefault="0001008C" w:rsidP="00FB5F16">
            <w:pPr>
              <w:pStyle w:val="TableBullet"/>
              <w:numPr>
                <w:ilvl w:val="0"/>
                <w:numId w:val="0"/>
              </w:numPr>
              <w:rPr>
                <w:rStyle w:val="TableBulletChar"/>
              </w:rPr>
            </w:pPr>
            <w:r w:rsidRPr="00FB5F16">
              <w:rPr>
                <w:rStyle w:val="TabletextChar"/>
              </w:rPr>
              <w:t>How do different contexts and purposes impact the participation</w:t>
            </w:r>
            <w:r w:rsidRPr="0001008C">
              <w:rPr>
                <w:rStyle w:val="TableBulletChar"/>
              </w:rPr>
              <w:t xml:space="preserve"> </w:t>
            </w:r>
            <w:r w:rsidRPr="00FB5F16">
              <w:rPr>
                <w:rStyle w:val="TabletextChar"/>
              </w:rPr>
              <w:t>of individuals and cultural groups?</w:t>
            </w:r>
            <w:r w:rsidRPr="0001008C">
              <w:rPr>
                <w:rStyle w:val="TableBulletChar"/>
              </w:rPr>
              <w:t xml:space="preserve"> </w:t>
            </w:r>
          </w:p>
          <w:p w:rsidR="0001008C" w:rsidRDefault="0001008C" w:rsidP="0001008C">
            <w:pPr>
              <w:pStyle w:val="TableBullet"/>
            </w:pPr>
            <w:r w:rsidRPr="0001008C">
              <w:rPr>
                <w:rStyle w:val="TableBulletChar"/>
              </w:rPr>
              <w:t>Concept: institutions</w:t>
            </w:r>
          </w:p>
          <w:p w:rsidR="0001008C" w:rsidRPr="0001008C" w:rsidRDefault="0001008C" w:rsidP="0001008C">
            <w:pPr>
              <w:pStyle w:val="Tabletext"/>
            </w:pPr>
            <w:r w:rsidRPr="0001008C">
              <w:rPr>
                <w:rStyle w:val="TabletextChar"/>
              </w:rPr>
              <w:t xml:space="preserve">How is participation in institutional practices influenced by social, political and economic factors? </w:t>
            </w:r>
          </w:p>
        </w:tc>
        <w:tc>
          <w:tcPr>
            <w:tcW w:w="0" w:type="dxa"/>
            <w:shd w:val="clear" w:color="auto" w:fill="auto"/>
          </w:tcPr>
          <w:p w:rsidR="001C0252" w:rsidRDefault="00DF2541" w:rsidP="008C3C06">
            <w:pPr>
              <w:pStyle w:val="Tableheading"/>
            </w:pPr>
            <w:r>
              <w:t>Identity</w:t>
            </w:r>
          </w:p>
          <w:p w:rsidR="006909B2" w:rsidRDefault="006909B2" w:rsidP="006909B2">
            <w:pPr>
              <w:pStyle w:val="TableBullet"/>
            </w:pPr>
            <w:r>
              <w:t xml:space="preserve">Concept: technologies </w:t>
            </w:r>
          </w:p>
          <w:p w:rsidR="006909B2" w:rsidRDefault="006909B2" w:rsidP="006909B2">
            <w:pPr>
              <w:pStyle w:val="Tabletext"/>
            </w:pPr>
            <w:r>
              <w:t xml:space="preserve">How do media artists experiment with technological practices? </w:t>
            </w:r>
          </w:p>
          <w:p w:rsidR="006909B2" w:rsidRDefault="006909B2" w:rsidP="006909B2">
            <w:pPr>
              <w:pStyle w:val="TableBullet"/>
            </w:pPr>
            <w:r>
              <w:t xml:space="preserve">Concept: representations </w:t>
            </w:r>
          </w:p>
          <w:p w:rsidR="006909B2" w:rsidRDefault="006909B2" w:rsidP="006909B2">
            <w:pPr>
              <w:pStyle w:val="Tabletext"/>
            </w:pPr>
            <w:r>
              <w:t xml:space="preserve">How do media artists portray people, places, events, ideas and emotions? </w:t>
            </w:r>
          </w:p>
          <w:p w:rsidR="006909B2" w:rsidRDefault="006909B2" w:rsidP="006909B2">
            <w:pPr>
              <w:pStyle w:val="TableBullet"/>
            </w:pPr>
            <w:r>
              <w:t>Concept: languages</w:t>
            </w:r>
          </w:p>
          <w:p w:rsidR="0001008C" w:rsidRDefault="006909B2" w:rsidP="006909B2">
            <w:pPr>
              <w:pStyle w:val="Tabletext"/>
            </w:pPr>
            <w:r>
              <w:t>How do media artists use signs, symbols, codes and conventions in experimental ways to create meaning?</w:t>
            </w:r>
          </w:p>
        </w:tc>
      </w:tr>
    </w:tbl>
    <w:p w:rsidR="001C0252" w:rsidRDefault="001C0252" w:rsidP="001C0252">
      <w:pPr>
        <w:pStyle w:val="Heading3"/>
      </w:pPr>
      <w:bookmarkStart w:id="314" w:name="_Toc16163669"/>
      <w:r>
        <w:t>Assessment</w:t>
      </w:r>
      <w:bookmarkEnd w:id="314"/>
    </w:p>
    <w:p w:rsidR="00A0725F" w:rsidRDefault="00A0725F" w:rsidP="00A0725F">
      <w:pPr>
        <w:pStyle w:val="BodyText"/>
      </w:pPr>
      <w:r>
        <w:t>S</w:t>
      </w:r>
      <w:r w:rsidRPr="008C3C06">
        <w:t>chools devise assessment</w:t>
      </w:r>
      <w:r>
        <w:t>s</w:t>
      </w:r>
      <w:r w:rsidRPr="008C3C06">
        <w:t xml:space="preserve"> </w:t>
      </w:r>
      <w:r>
        <w:t>i</w:t>
      </w:r>
      <w:r w:rsidRPr="008C3C06">
        <w:t>n Units 1 and 2 to suit their local context.</w:t>
      </w:r>
      <w:r>
        <w:t xml:space="preserve"> </w:t>
      </w:r>
    </w:p>
    <w:p w:rsidR="00A0725F" w:rsidRDefault="00A0725F" w:rsidP="00A0725F">
      <w:pPr>
        <w:pStyle w:val="BodyText"/>
      </w:pPr>
      <w:r>
        <w:t>I</w:t>
      </w:r>
      <w:r w:rsidRPr="008C3C06">
        <w:t xml:space="preserve">n Units 3 and 4 </w:t>
      </w:r>
      <w:r>
        <w:t>s</w:t>
      </w:r>
      <w:r w:rsidRPr="008C3C06">
        <w:t>tudents complete four summative assessments</w:t>
      </w:r>
      <w:r>
        <w:t>. The results from each of the assessments are added together to provi</w:t>
      </w:r>
      <w:r w:rsidR="00406949">
        <w:t xml:space="preserve">de a subject score out of 100. </w:t>
      </w:r>
      <w:r>
        <w:t>Students will also receive an overall subject result (A–E).</w:t>
      </w:r>
    </w:p>
    <w:p w:rsidR="00DE76ED" w:rsidRDefault="00DE76ED" w:rsidP="002D55F4">
      <w:pPr>
        <w:pStyle w:val="Caption"/>
        <w:rPr>
          <w:noProof/>
        </w:rPr>
      </w:pPr>
      <w:r>
        <w:t>Summative assessments</w:t>
      </w:r>
    </w:p>
    <w:tbl>
      <w:tblPr>
        <w:tblStyle w:val="QCAAtablestyle1"/>
        <w:tblW w:w="4900" w:type="pct"/>
        <w:tblLayout w:type="fixed"/>
        <w:tblLook w:val="04A0" w:firstRow="1" w:lastRow="0" w:firstColumn="1" w:lastColumn="0" w:noHBand="0" w:noVBand="1"/>
      </w:tblPr>
      <w:tblGrid>
        <w:gridCol w:w="3677"/>
        <w:gridCol w:w="704"/>
        <w:gridCol w:w="3795"/>
        <w:gridCol w:w="704"/>
      </w:tblGrid>
      <w:tr w:rsidR="00953319" w:rsidTr="007A671F">
        <w:trPr>
          <w:cnfStyle w:val="100000000000" w:firstRow="1" w:lastRow="0" w:firstColumn="0" w:lastColumn="0" w:oddVBand="0" w:evenVBand="0" w:oddHBand="0" w:evenHBand="0" w:firstRowFirstColumn="0" w:firstRowLastColumn="0" w:lastRowFirstColumn="0" w:lastRowLastColumn="0"/>
        </w:trPr>
        <w:tc>
          <w:tcPr>
            <w:tcW w:w="4418" w:type="dxa"/>
            <w:gridSpan w:val="2"/>
          </w:tcPr>
          <w:p w:rsidR="00953319" w:rsidRDefault="00953319" w:rsidP="00953319">
            <w:pPr>
              <w:pStyle w:val="Tableheading"/>
            </w:pPr>
            <w:r>
              <w:t>Unit 3</w:t>
            </w:r>
          </w:p>
        </w:tc>
        <w:tc>
          <w:tcPr>
            <w:tcW w:w="4536" w:type="dxa"/>
            <w:gridSpan w:val="2"/>
          </w:tcPr>
          <w:p w:rsidR="00953319" w:rsidRDefault="00953319" w:rsidP="00953319">
            <w:pPr>
              <w:pStyle w:val="Tableheading"/>
            </w:pPr>
            <w:r>
              <w:t>Unit 4</w:t>
            </w:r>
          </w:p>
        </w:tc>
      </w:tr>
      <w:tr w:rsidR="00953319" w:rsidTr="007A671F">
        <w:tc>
          <w:tcPr>
            <w:tcW w:w="3710" w:type="dxa"/>
          </w:tcPr>
          <w:p w:rsidR="00953319" w:rsidRDefault="00953319" w:rsidP="00953319">
            <w:pPr>
              <w:pStyle w:val="Tabletext"/>
            </w:pPr>
            <w:r>
              <w:t xml:space="preserve">Summative internal assessment 1 (IA1): </w:t>
            </w:r>
          </w:p>
          <w:p w:rsidR="00953319" w:rsidRDefault="00953319" w:rsidP="00953319">
            <w:pPr>
              <w:pStyle w:val="TableBullet"/>
            </w:pPr>
            <w:r>
              <w:t>Case study investigation</w:t>
            </w:r>
          </w:p>
        </w:tc>
        <w:tc>
          <w:tcPr>
            <w:tcW w:w="708" w:type="dxa"/>
          </w:tcPr>
          <w:p w:rsidR="00953319" w:rsidRDefault="00953319" w:rsidP="00953319">
            <w:pPr>
              <w:pStyle w:val="Tabletext"/>
            </w:pPr>
            <w:r>
              <w:t>15%</w:t>
            </w:r>
          </w:p>
        </w:tc>
        <w:tc>
          <w:tcPr>
            <w:tcW w:w="3828" w:type="dxa"/>
            <w:vMerge w:val="restart"/>
          </w:tcPr>
          <w:p w:rsidR="00953319" w:rsidRDefault="00953319" w:rsidP="00953319">
            <w:pPr>
              <w:pStyle w:val="Tabletext"/>
            </w:pPr>
            <w:r>
              <w:t xml:space="preserve">Summative internal assessment 3 (IA3): </w:t>
            </w:r>
          </w:p>
          <w:p w:rsidR="00953319" w:rsidRDefault="00953319" w:rsidP="00953319">
            <w:pPr>
              <w:pStyle w:val="TableBullet"/>
            </w:pPr>
            <w:r>
              <w:t>Stylistic project</w:t>
            </w:r>
          </w:p>
        </w:tc>
        <w:tc>
          <w:tcPr>
            <w:tcW w:w="708" w:type="dxa"/>
            <w:vMerge w:val="restart"/>
          </w:tcPr>
          <w:p w:rsidR="00953319" w:rsidRDefault="00953319" w:rsidP="00953319">
            <w:pPr>
              <w:pStyle w:val="Tabletext"/>
            </w:pPr>
            <w:r>
              <w:t>35%</w:t>
            </w:r>
          </w:p>
          <w:p w:rsidR="00953319" w:rsidRDefault="00953319" w:rsidP="00953319">
            <w:pPr>
              <w:pStyle w:val="Tabletext"/>
            </w:pPr>
          </w:p>
        </w:tc>
      </w:tr>
      <w:tr w:rsidR="00953319" w:rsidTr="007A671F">
        <w:tc>
          <w:tcPr>
            <w:tcW w:w="3710" w:type="dxa"/>
          </w:tcPr>
          <w:p w:rsidR="00953319" w:rsidRDefault="00953319" w:rsidP="00953319">
            <w:pPr>
              <w:pStyle w:val="Tabletext"/>
            </w:pPr>
            <w:r>
              <w:t>Summativ</w:t>
            </w:r>
            <w:r w:rsidR="00406949">
              <w:t xml:space="preserve">e internal assessment 2 (IA2): </w:t>
            </w:r>
          </w:p>
          <w:p w:rsidR="00953319" w:rsidRDefault="00953319" w:rsidP="00953319">
            <w:pPr>
              <w:pStyle w:val="TableBullet"/>
            </w:pPr>
            <w:r>
              <w:t>Multi-platform project</w:t>
            </w:r>
          </w:p>
        </w:tc>
        <w:tc>
          <w:tcPr>
            <w:tcW w:w="708" w:type="dxa"/>
          </w:tcPr>
          <w:p w:rsidR="00953319" w:rsidRDefault="00953319" w:rsidP="00953319">
            <w:pPr>
              <w:pStyle w:val="Tabletext"/>
            </w:pPr>
            <w:r>
              <w:t>25%</w:t>
            </w:r>
          </w:p>
        </w:tc>
        <w:tc>
          <w:tcPr>
            <w:tcW w:w="3828" w:type="dxa"/>
            <w:vMerge/>
          </w:tcPr>
          <w:p w:rsidR="00953319" w:rsidRDefault="00953319" w:rsidP="00953319">
            <w:pPr>
              <w:pStyle w:val="TableBullet"/>
              <w:numPr>
                <w:ilvl w:val="0"/>
                <w:numId w:val="0"/>
              </w:numPr>
              <w:ind w:left="170"/>
            </w:pPr>
          </w:p>
        </w:tc>
        <w:tc>
          <w:tcPr>
            <w:tcW w:w="708" w:type="dxa"/>
            <w:vMerge/>
          </w:tcPr>
          <w:p w:rsidR="00953319" w:rsidRDefault="00953319" w:rsidP="00953319">
            <w:pPr>
              <w:pStyle w:val="Tabletext"/>
            </w:pPr>
          </w:p>
        </w:tc>
      </w:tr>
      <w:tr w:rsidR="009871F4" w:rsidTr="007A671F">
        <w:tc>
          <w:tcPr>
            <w:tcW w:w="8954" w:type="dxa"/>
            <w:gridSpan w:val="4"/>
          </w:tcPr>
          <w:p w:rsidR="009871F4" w:rsidRDefault="009871F4" w:rsidP="00406949">
            <w:pPr>
              <w:pStyle w:val="Tabletext"/>
              <w:jc w:val="center"/>
            </w:pPr>
            <w:r>
              <w:t>Summative external assessment (EA): 25%</w:t>
            </w:r>
          </w:p>
          <w:p w:rsidR="009871F4" w:rsidRDefault="009871F4" w:rsidP="00406949">
            <w:pPr>
              <w:pStyle w:val="TableBullet"/>
              <w:jc w:val="center"/>
            </w:pPr>
            <w:r>
              <w:t>Examination — extended response</w:t>
            </w:r>
          </w:p>
        </w:tc>
      </w:tr>
    </w:tbl>
    <w:p w:rsidR="0085720E" w:rsidRDefault="0085720E" w:rsidP="00953319"/>
    <w:p w:rsidR="0085720E" w:rsidRDefault="0085720E">
      <w:r>
        <w:br w:type="page"/>
      </w:r>
    </w:p>
    <w:p w:rsidR="00FE16EF" w:rsidRDefault="00FE16EF"/>
    <w:tbl>
      <w:tblPr>
        <w:tblStyle w:val="TextLayout"/>
        <w:tblW w:w="5650" w:type="pct"/>
        <w:tblInd w:w="-170" w:type="dxa"/>
        <w:tblLook w:val="04A0" w:firstRow="1" w:lastRow="0" w:firstColumn="1" w:lastColumn="0" w:noHBand="0" w:noVBand="1"/>
      </w:tblPr>
      <w:tblGrid>
        <w:gridCol w:w="141"/>
        <w:gridCol w:w="9260"/>
        <w:gridCol w:w="849"/>
      </w:tblGrid>
      <w:tr w:rsidR="00FE1B9B" w:rsidRPr="003B6F39" w:rsidTr="002D27F6">
        <w:trPr>
          <w:trHeight w:hRule="exact" w:val="851"/>
        </w:trPr>
        <w:tc>
          <w:tcPr>
            <w:tcW w:w="141" w:type="dxa"/>
            <w:shd w:val="clear" w:color="auto" w:fill="6858A9"/>
          </w:tcPr>
          <w:p w:rsidR="00FE1B9B" w:rsidRDefault="00FE1B9B" w:rsidP="003A1B60">
            <w:r>
              <w:br w:type="page"/>
            </w:r>
          </w:p>
        </w:tc>
        <w:tc>
          <w:tcPr>
            <w:tcW w:w="9260" w:type="dxa"/>
            <w:tcMar>
              <w:left w:w="57" w:type="dxa"/>
            </w:tcMar>
            <w:vAlign w:val="center"/>
          </w:tcPr>
          <w:p w:rsidR="00FE1B9B" w:rsidRDefault="00FE1B9B" w:rsidP="00F601D0">
            <w:pPr>
              <w:pStyle w:val="SubjectHeading"/>
            </w:pPr>
            <w:r>
              <w:t>Visual Art</w:t>
            </w:r>
          </w:p>
          <w:p w:rsidR="00FE1B9B" w:rsidRPr="00E86C01" w:rsidRDefault="00FE1B9B" w:rsidP="003A1B60">
            <w:pPr>
              <w:pStyle w:val="Heading3"/>
              <w:spacing w:before="0" w:after="0"/>
            </w:pPr>
            <w:bookmarkStart w:id="315" w:name="_Toc16163670"/>
            <w:r>
              <w:t>General senior subject</w:t>
            </w:r>
            <w:bookmarkEnd w:id="315"/>
          </w:p>
        </w:tc>
        <w:tc>
          <w:tcPr>
            <w:tcW w:w="849" w:type="dxa"/>
            <w:shd w:val="clear" w:color="auto" w:fill="6858A9"/>
            <w:tcMar>
              <w:bottom w:w="28" w:type="dxa"/>
              <w:right w:w="57" w:type="dxa"/>
            </w:tcMar>
            <w:vAlign w:val="bottom"/>
          </w:tcPr>
          <w:p w:rsidR="00FE1B9B" w:rsidRPr="007642FE" w:rsidRDefault="00FE1B9B" w:rsidP="003A1B60">
            <w:pPr>
              <w:pStyle w:val="Heading3"/>
              <w:spacing w:before="0" w:after="100" w:afterAutospacing="1"/>
              <w:jc w:val="right"/>
              <w:rPr>
                <w:color w:val="FFFFFF" w:themeColor="background1"/>
                <w:sz w:val="17"/>
                <w:szCs w:val="17"/>
              </w:rPr>
            </w:pPr>
            <w:bookmarkStart w:id="316" w:name="_Toc16163671"/>
            <w:r>
              <w:rPr>
                <w:color w:val="FFFFFF" w:themeColor="background1"/>
                <w:sz w:val="17"/>
                <w:szCs w:val="17"/>
              </w:rPr>
              <w:t>General</w:t>
            </w:r>
            <w:bookmarkEnd w:id="316"/>
          </w:p>
        </w:tc>
      </w:tr>
      <w:tr w:rsidR="00FE1B9B" w:rsidRPr="003B6F39" w:rsidTr="002D27F6">
        <w:trPr>
          <w:trHeight w:hRule="exact" w:val="113"/>
        </w:trPr>
        <w:tc>
          <w:tcPr>
            <w:tcW w:w="10250" w:type="dxa"/>
            <w:gridSpan w:val="3"/>
            <w:shd w:val="clear" w:color="auto" w:fill="auto"/>
          </w:tcPr>
          <w:p w:rsidR="00FE1B9B" w:rsidRDefault="00FE1B9B" w:rsidP="003A1B60">
            <w:pPr>
              <w:pStyle w:val="Heading3"/>
              <w:spacing w:before="0" w:after="100" w:afterAutospacing="1"/>
              <w:rPr>
                <w:color w:val="FFFFFF" w:themeColor="background1"/>
                <w:sz w:val="17"/>
                <w:szCs w:val="17"/>
              </w:rPr>
            </w:pPr>
          </w:p>
        </w:tc>
      </w:tr>
    </w:tbl>
    <w:p w:rsidR="00FE1B9B" w:rsidRDefault="00FE1B9B" w:rsidP="00FE1B9B">
      <w:pPr>
        <w:pStyle w:val="BodyText"/>
        <w:spacing w:before="120"/>
        <w:sectPr w:rsidR="00FE1B9B" w:rsidSect="00500900">
          <w:headerReference w:type="default" r:id="rId42"/>
          <w:type w:val="continuous"/>
          <w:pgSz w:w="11907" w:h="16840" w:code="9"/>
          <w:pgMar w:top="1134" w:right="1418" w:bottom="1701" w:left="1418" w:header="567" w:footer="284" w:gutter="0"/>
          <w:cols w:space="720"/>
          <w:formProt w:val="0"/>
          <w:noEndnote/>
          <w:docGrid w:linePitch="299"/>
        </w:sectPr>
      </w:pPr>
    </w:p>
    <w:p w:rsidR="00FE1B9B" w:rsidRDefault="00FE1B9B" w:rsidP="00FE1B9B">
      <w:pPr>
        <w:pStyle w:val="BodyText"/>
        <w:spacing w:before="120"/>
      </w:pPr>
      <w:r w:rsidRPr="00620E4B">
        <w:t xml:space="preserve">Visual Art </w:t>
      </w:r>
      <w:r>
        <w:t xml:space="preserve">provides </w:t>
      </w:r>
      <w:r w:rsidRPr="00BE23B1">
        <w:t xml:space="preserve">students </w:t>
      </w:r>
      <w:r>
        <w:t xml:space="preserve">with opportunities to </w:t>
      </w:r>
      <w:r w:rsidRPr="00BE23B1">
        <w:t>understand and appreciate the role of visual art in past and present traditions and cultures, as well as the contributions of contemporary visual artists and their aesthetic, historical and cultural influences</w:t>
      </w:r>
      <w:r>
        <w:t>.</w:t>
      </w:r>
      <w:r w:rsidRPr="00620E4B">
        <w:t xml:space="preserve"> </w:t>
      </w:r>
      <w:r w:rsidRPr="004D39A5">
        <w:t>Students interact with artists, artworks, institutions and communities to enrich their experiences and understandings of their own and others’ art practices</w:t>
      </w:r>
      <w:r>
        <w:t>.</w:t>
      </w:r>
    </w:p>
    <w:p w:rsidR="00FE1B9B" w:rsidRDefault="00FE1B9B" w:rsidP="00FE1B9B">
      <w:pPr>
        <w:pStyle w:val="BodyText"/>
        <w:spacing w:before="120"/>
      </w:pPr>
      <w:r>
        <w:t>Students have opportunities to construct knowledge and communicate personal interpretations by working as both artist and audience. They use their imagination and creativity to innovatively solve problems and experiment with visual language and expression.</w:t>
      </w:r>
    </w:p>
    <w:p w:rsidR="00FE1B9B" w:rsidRDefault="00F97E88" w:rsidP="00FE1B9B">
      <w:pPr>
        <w:pStyle w:val="BodyText"/>
      </w:pPr>
      <w:r>
        <w:t>Through an inquiry learning model, s</w:t>
      </w:r>
      <w:r w:rsidR="00FE1B9B" w:rsidRPr="00620E4B">
        <w:t xml:space="preserve">tudents </w:t>
      </w:r>
      <w:r w:rsidR="00FE1B9B">
        <w:t xml:space="preserve">develop critical and creative thinking skills. They create individualised </w:t>
      </w:r>
      <w:r w:rsidR="00FE1B9B" w:rsidRPr="00620E4B">
        <w:t xml:space="preserve">responses and meaning by applying diverse materials, techniques, technologies and art processes. </w:t>
      </w:r>
    </w:p>
    <w:p w:rsidR="00FE1B9B" w:rsidRPr="00620E4B" w:rsidRDefault="00F97E88" w:rsidP="00FE1B9B">
      <w:pPr>
        <w:pStyle w:val="BodyText"/>
      </w:pPr>
      <w:r>
        <w:t>In responding to artworks, s</w:t>
      </w:r>
      <w:r w:rsidR="00FE1B9B">
        <w:t xml:space="preserve">tudents employ essential literacy skills to </w:t>
      </w:r>
      <w:r w:rsidR="00FE1B9B" w:rsidRPr="00620E4B">
        <w:t>investigate artistic expression and critically analyse artworks in diverse contexts. They consider meaning, purposes and theoretical approaches when ascribing aesthetic value and challenging ideas.</w:t>
      </w:r>
    </w:p>
    <w:p w:rsidR="00FE1B9B" w:rsidRDefault="00FE1B9B" w:rsidP="00FE1B9B">
      <w:pPr>
        <w:pStyle w:val="Heading3"/>
      </w:pPr>
      <w:bookmarkStart w:id="317" w:name="_Toc16163672"/>
      <w:r>
        <w:t>Pathways</w:t>
      </w:r>
      <w:bookmarkEnd w:id="317"/>
    </w:p>
    <w:p w:rsidR="00FE1B9B" w:rsidRPr="008C3C06" w:rsidRDefault="00FE1B9B" w:rsidP="00FE1B9B">
      <w:pPr>
        <w:pStyle w:val="BodyText"/>
      </w:pPr>
      <w:r w:rsidRPr="008C3C06">
        <w:t>A course of study in Visual Art can establish a basis for further education and employment in the fields of arts practice, design, craft, and information technologies; broader areas in creative industries and cultural institutions; and diverse fields that use skills inherent in the subject</w:t>
      </w:r>
      <w:r w:rsidR="00F97E88">
        <w:t>,</w:t>
      </w:r>
      <w:r w:rsidRPr="008C3C06">
        <w:t xml:space="preserve"> including advertising, arts administration and management, communication, design, education, galleries and museums, film and television, public relations</w:t>
      </w:r>
      <w:r w:rsidR="00F97E88">
        <w:t>,</w:t>
      </w:r>
      <w:r w:rsidRPr="008C3C06">
        <w:t xml:space="preserve"> and science and technology.</w:t>
      </w:r>
    </w:p>
    <w:p w:rsidR="00FE1B9B" w:rsidRDefault="00FE1B9B" w:rsidP="00FE1B9B">
      <w:pPr>
        <w:pStyle w:val="Heading3"/>
      </w:pPr>
      <w:bookmarkStart w:id="318" w:name="_Toc16163673"/>
      <w:r>
        <w:t>Objectives</w:t>
      </w:r>
      <w:bookmarkEnd w:id="318"/>
    </w:p>
    <w:p w:rsidR="00FE1B9B" w:rsidRDefault="00FE1B9B" w:rsidP="0084271F">
      <w:pPr>
        <w:pStyle w:val="BodyText"/>
        <w:rPr>
          <w:noProof/>
        </w:rPr>
      </w:pPr>
      <w:r>
        <w:rPr>
          <w:noProof/>
        </w:rPr>
        <w:t>By the conclusion of the course of study, students will:</w:t>
      </w:r>
    </w:p>
    <w:p w:rsidR="00FE1B9B" w:rsidRPr="00A60AC6" w:rsidRDefault="00FE1B9B" w:rsidP="00A60AC6">
      <w:pPr>
        <w:pStyle w:val="ListBullet0"/>
      </w:pPr>
      <w:r w:rsidRPr="00A60AC6">
        <w:t>implement ideas and representations</w:t>
      </w:r>
    </w:p>
    <w:p w:rsidR="00FE1B9B" w:rsidRPr="00A60AC6" w:rsidRDefault="00FE1B9B" w:rsidP="00A60AC6">
      <w:pPr>
        <w:pStyle w:val="ListBullet0"/>
      </w:pPr>
      <w:r w:rsidRPr="00A60AC6">
        <w:t>apply literacy skills</w:t>
      </w:r>
    </w:p>
    <w:p w:rsidR="00FE1B9B" w:rsidRPr="00A60AC6" w:rsidRDefault="00FE1B9B" w:rsidP="00A60AC6">
      <w:pPr>
        <w:pStyle w:val="ListBullet0"/>
      </w:pPr>
      <w:r w:rsidRPr="00A60AC6">
        <w:t>analyse and interpret visual language, expression and meaning in artworks and practices</w:t>
      </w:r>
    </w:p>
    <w:p w:rsidR="00FE1B9B" w:rsidRPr="00A60AC6" w:rsidRDefault="00FE1B9B" w:rsidP="00A60AC6">
      <w:pPr>
        <w:pStyle w:val="ListBullet0"/>
      </w:pPr>
      <w:r w:rsidRPr="00A60AC6">
        <w:t>evaluate art practices, traditions, cultures and theories</w:t>
      </w:r>
    </w:p>
    <w:p w:rsidR="00FE1B9B" w:rsidRPr="00A60AC6" w:rsidRDefault="00FE1B9B" w:rsidP="00A60AC6">
      <w:pPr>
        <w:pStyle w:val="ListBullet0"/>
      </w:pPr>
      <w:r w:rsidRPr="00A60AC6">
        <w:t>justify viewpoints</w:t>
      </w:r>
    </w:p>
    <w:p w:rsidR="00FE1B9B" w:rsidRPr="00A60AC6" w:rsidRDefault="00FE1B9B" w:rsidP="00A60AC6">
      <w:pPr>
        <w:pStyle w:val="ListBullet0"/>
      </w:pPr>
      <w:r w:rsidRPr="00A60AC6">
        <w:t>experiment in response to stimulus</w:t>
      </w:r>
    </w:p>
    <w:p w:rsidR="00FE1B9B" w:rsidRPr="00A60AC6" w:rsidRDefault="00FE1B9B" w:rsidP="00A60AC6">
      <w:pPr>
        <w:pStyle w:val="ListBullet0"/>
      </w:pPr>
      <w:r w:rsidRPr="00A60AC6">
        <w:t>create meaning through the knowledge and understanding of materials, techniques, technologies and art processes</w:t>
      </w:r>
    </w:p>
    <w:p w:rsidR="00FE1B9B" w:rsidRPr="00A60AC6" w:rsidRDefault="00FE1B9B" w:rsidP="00A60AC6">
      <w:pPr>
        <w:pStyle w:val="ListBullet0"/>
        <w:sectPr w:rsidR="00FE1B9B" w:rsidRPr="00A60AC6" w:rsidSect="00500900">
          <w:type w:val="continuous"/>
          <w:pgSz w:w="11907" w:h="16840" w:code="9"/>
          <w:pgMar w:top="1134" w:right="1418" w:bottom="1701" w:left="1418" w:header="567" w:footer="284" w:gutter="0"/>
          <w:cols w:num="2" w:space="720"/>
          <w:formProt w:val="0"/>
          <w:noEndnote/>
          <w:docGrid w:linePitch="299"/>
        </w:sectPr>
      </w:pPr>
      <w:r w:rsidRPr="00A60AC6">
        <w:t>realise responses to communicate meaning.</w:t>
      </w:r>
    </w:p>
    <w:p w:rsidR="00FE1B9B" w:rsidRPr="008C3C06" w:rsidRDefault="00FE1B9B" w:rsidP="00FE1B9B">
      <w:pPr>
        <w:pStyle w:val="ListBullet0"/>
        <w:numPr>
          <w:ilvl w:val="0"/>
          <w:numId w:val="0"/>
        </w:numPr>
      </w:pPr>
    </w:p>
    <w:p w:rsidR="00FE1B9B" w:rsidRDefault="00FE1B9B" w:rsidP="00FE1B9B">
      <w:pPr>
        <w:pStyle w:val="Heading3"/>
      </w:pPr>
      <w:bookmarkStart w:id="319" w:name="_Toc16163674"/>
      <w:r>
        <w:t>Structure</w:t>
      </w:r>
      <w:bookmarkEnd w:id="319"/>
    </w:p>
    <w:tbl>
      <w:tblPr>
        <w:tblStyle w:val="QCAAtablestyle1"/>
        <w:tblW w:w="4900" w:type="pct"/>
        <w:tblLook w:val="04A0" w:firstRow="1" w:lastRow="0" w:firstColumn="1" w:lastColumn="0" w:noHBand="0" w:noVBand="1"/>
      </w:tblPr>
      <w:tblGrid>
        <w:gridCol w:w="2208"/>
        <w:gridCol w:w="2211"/>
        <w:gridCol w:w="2234"/>
        <w:gridCol w:w="2227"/>
      </w:tblGrid>
      <w:tr w:rsidR="00FE1B9B" w:rsidTr="003A1B60">
        <w:trPr>
          <w:cnfStyle w:val="100000000000" w:firstRow="1" w:lastRow="0" w:firstColumn="0" w:lastColumn="0" w:oddVBand="0" w:evenVBand="0" w:oddHBand="0" w:evenHBand="0" w:firstRowFirstColumn="0" w:firstRowLastColumn="0" w:lastRowFirstColumn="0" w:lastRowLastColumn="0"/>
        </w:trPr>
        <w:tc>
          <w:tcPr>
            <w:tcW w:w="2208" w:type="dxa"/>
          </w:tcPr>
          <w:p w:rsidR="00FE1B9B" w:rsidRDefault="00FE1B9B" w:rsidP="003A1B60">
            <w:pPr>
              <w:pStyle w:val="TableHeading0"/>
            </w:pPr>
            <w:r>
              <w:t>Unit 1</w:t>
            </w:r>
          </w:p>
        </w:tc>
        <w:tc>
          <w:tcPr>
            <w:tcW w:w="2211" w:type="dxa"/>
          </w:tcPr>
          <w:p w:rsidR="00FE1B9B" w:rsidRDefault="00FE1B9B" w:rsidP="003A1B60">
            <w:pPr>
              <w:pStyle w:val="TableHeading0"/>
            </w:pPr>
            <w:r>
              <w:t>Unit 2</w:t>
            </w:r>
          </w:p>
        </w:tc>
        <w:tc>
          <w:tcPr>
            <w:tcW w:w="2234" w:type="dxa"/>
          </w:tcPr>
          <w:p w:rsidR="00FE1B9B" w:rsidRDefault="00FE1B9B" w:rsidP="003A1B60">
            <w:pPr>
              <w:pStyle w:val="TableHeading0"/>
            </w:pPr>
            <w:r>
              <w:t>Unit 3</w:t>
            </w:r>
          </w:p>
        </w:tc>
        <w:tc>
          <w:tcPr>
            <w:tcW w:w="2227" w:type="dxa"/>
          </w:tcPr>
          <w:p w:rsidR="00FE1B9B" w:rsidRDefault="00FE1B9B" w:rsidP="003A1B60">
            <w:pPr>
              <w:pStyle w:val="TableHeading0"/>
            </w:pPr>
            <w:r>
              <w:t>Unit 4</w:t>
            </w:r>
          </w:p>
        </w:tc>
      </w:tr>
      <w:tr w:rsidR="00FE1B9B" w:rsidTr="003A1B60">
        <w:tc>
          <w:tcPr>
            <w:tcW w:w="2208" w:type="dxa"/>
            <w:shd w:val="clear" w:color="auto" w:fill="auto"/>
          </w:tcPr>
          <w:p w:rsidR="00FE1B9B" w:rsidRDefault="00FE1B9B" w:rsidP="003A1B60">
            <w:pPr>
              <w:pStyle w:val="TableHeading0"/>
            </w:pPr>
            <w:r>
              <w:t>Art as lens</w:t>
            </w:r>
          </w:p>
          <w:p w:rsidR="00BB7B29" w:rsidRPr="007F2DA1" w:rsidRDefault="00BB7B29" w:rsidP="00BB7B29">
            <w:pPr>
              <w:pStyle w:val="Tabletext"/>
            </w:pPr>
            <w:r>
              <w:t xml:space="preserve">Through inquiry learning, the following </w:t>
            </w:r>
            <w:r w:rsidRPr="007F2DA1">
              <w:t>are explored:</w:t>
            </w:r>
          </w:p>
          <w:p w:rsidR="00FE1B9B" w:rsidRDefault="00FE1B9B" w:rsidP="003A1B60">
            <w:pPr>
              <w:pStyle w:val="TableBullet"/>
            </w:pPr>
            <w:r>
              <w:t>Concept: lenses to explore the material world</w:t>
            </w:r>
          </w:p>
          <w:p w:rsidR="00FE1B9B" w:rsidRDefault="00FE1B9B" w:rsidP="003A1B60">
            <w:pPr>
              <w:pStyle w:val="TableBullet"/>
            </w:pPr>
            <w:r>
              <w:t xml:space="preserve">Contexts: personal and contemporary </w:t>
            </w:r>
          </w:p>
          <w:p w:rsidR="00FE1B9B" w:rsidRDefault="00FE1B9B" w:rsidP="003A1B60">
            <w:pPr>
              <w:pStyle w:val="TableBullet"/>
            </w:pPr>
            <w:r>
              <w:t xml:space="preserve">Focus: People, place, objects </w:t>
            </w:r>
          </w:p>
          <w:p w:rsidR="00FE1B9B" w:rsidRDefault="00FE1B9B" w:rsidP="003A1B60">
            <w:pPr>
              <w:pStyle w:val="TableBullet"/>
            </w:pPr>
            <w:r>
              <w:t>Media: 2D, 3D, and time-based</w:t>
            </w:r>
          </w:p>
        </w:tc>
        <w:tc>
          <w:tcPr>
            <w:tcW w:w="2211" w:type="dxa"/>
            <w:shd w:val="clear" w:color="auto" w:fill="auto"/>
          </w:tcPr>
          <w:p w:rsidR="00FE1B9B" w:rsidRDefault="00FE1B9B" w:rsidP="003A1B60">
            <w:pPr>
              <w:pStyle w:val="TableHeading0"/>
            </w:pPr>
            <w:r>
              <w:t>Art as code</w:t>
            </w:r>
          </w:p>
          <w:p w:rsidR="00BB7B29" w:rsidRPr="007F2DA1" w:rsidRDefault="00BB7B29" w:rsidP="00BB7B29">
            <w:pPr>
              <w:pStyle w:val="Tabletext"/>
            </w:pPr>
            <w:r>
              <w:t xml:space="preserve">Through inquiry learning, the following </w:t>
            </w:r>
            <w:r w:rsidRPr="007F2DA1">
              <w:t>are explored:</w:t>
            </w:r>
          </w:p>
          <w:p w:rsidR="00FE1B9B" w:rsidRDefault="00FE1B9B" w:rsidP="003A1B60">
            <w:pPr>
              <w:pStyle w:val="TableBullet"/>
            </w:pPr>
            <w:r>
              <w:t>Concept: art as a coded visual language</w:t>
            </w:r>
          </w:p>
          <w:p w:rsidR="00FE1B9B" w:rsidRDefault="00FE1B9B" w:rsidP="003A1B60">
            <w:pPr>
              <w:pStyle w:val="TableBullet"/>
            </w:pPr>
            <w:r>
              <w:t>Contexts: formal and cultural</w:t>
            </w:r>
          </w:p>
          <w:p w:rsidR="00FE1B9B" w:rsidRDefault="00FE1B9B" w:rsidP="003A1B60">
            <w:pPr>
              <w:pStyle w:val="TableBullet"/>
            </w:pPr>
            <w:r>
              <w:t>Focus: Codes, symbols, signs and art conventions</w:t>
            </w:r>
          </w:p>
          <w:p w:rsidR="00FE1B9B" w:rsidRDefault="00FE1B9B" w:rsidP="003A1B60">
            <w:pPr>
              <w:pStyle w:val="TableBullet"/>
            </w:pPr>
            <w:r>
              <w:t>Media: 2D, 3D, and time-based</w:t>
            </w:r>
          </w:p>
        </w:tc>
        <w:tc>
          <w:tcPr>
            <w:tcW w:w="2234" w:type="dxa"/>
            <w:shd w:val="clear" w:color="auto" w:fill="auto"/>
          </w:tcPr>
          <w:p w:rsidR="00FE1B9B" w:rsidRDefault="00FE1B9B" w:rsidP="003A1B60">
            <w:pPr>
              <w:pStyle w:val="TableHeading0"/>
            </w:pPr>
            <w:r>
              <w:t>Art as knowledge</w:t>
            </w:r>
          </w:p>
          <w:p w:rsidR="00BB7B29" w:rsidRPr="007F2DA1" w:rsidRDefault="00BB7B29" w:rsidP="00BB7B29">
            <w:pPr>
              <w:pStyle w:val="Tabletext"/>
            </w:pPr>
            <w:r>
              <w:t xml:space="preserve">Through inquiry learning, the following </w:t>
            </w:r>
            <w:r w:rsidRPr="007F2DA1">
              <w:t>are explored:</w:t>
            </w:r>
          </w:p>
          <w:p w:rsidR="00FE1B9B" w:rsidRDefault="00FE1B9B" w:rsidP="003A1B60">
            <w:pPr>
              <w:pStyle w:val="TableBullet"/>
            </w:pPr>
            <w:r>
              <w:t>Concept: constructing knowledge as artist and audience</w:t>
            </w:r>
          </w:p>
          <w:p w:rsidR="00FE1B9B" w:rsidRDefault="00FE1B9B" w:rsidP="003A1B60">
            <w:pPr>
              <w:pStyle w:val="TableBullet"/>
            </w:pPr>
            <w:r>
              <w:t xml:space="preserve">Contexts: contemporary, personal, cultural and/or formal </w:t>
            </w:r>
          </w:p>
          <w:p w:rsidR="00FE1B9B" w:rsidRDefault="00FE1B9B" w:rsidP="003A1B60">
            <w:pPr>
              <w:pStyle w:val="TableBullet"/>
            </w:pPr>
            <w:r>
              <w:t>Focus: student</w:t>
            </w:r>
            <w:r w:rsidR="00FE0522">
              <w:t>-</w:t>
            </w:r>
            <w:r>
              <w:t xml:space="preserve">directed </w:t>
            </w:r>
          </w:p>
          <w:p w:rsidR="00FE1B9B" w:rsidRDefault="00FE1B9B" w:rsidP="00FE0522">
            <w:pPr>
              <w:pStyle w:val="TableBullet"/>
            </w:pPr>
            <w:r>
              <w:t>Media: student</w:t>
            </w:r>
            <w:r w:rsidR="00FE0522">
              <w:t>-</w:t>
            </w:r>
            <w:r>
              <w:t>directed</w:t>
            </w:r>
          </w:p>
        </w:tc>
        <w:tc>
          <w:tcPr>
            <w:tcW w:w="2227" w:type="dxa"/>
            <w:shd w:val="clear" w:color="auto" w:fill="auto"/>
          </w:tcPr>
          <w:p w:rsidR="00FE1B9B" w:rsidRDefault="00FE1B9B" w:rsidP="003A1B60">
            <w:pPr>
              <w:pStyle w:val="TableHeading0"/>
            </w:pPr>
            <w:r>
              <w:t>Art as alternate</w:t>
            </w:r>
          </w:p>
          <w:p w:rsidR="00BB7B29" w:rsidRPr="007F2DA1" w:rsidRDefault="00BB7B29" w:rsidP="00BB7B29">
            <w:pPr>
              <w:pStyle w:val="Tabletext"/>
            </w:pPr>
            <w:r>
              <w:t xml:space="preserve">Through inquiry learning, the following </w:t>
            </w:r>
            <w:r w:rsidRPr="007F2DA1">
              <w:t>are explored:</w:t>
            </w:r>
          </w:p>
          <w:p w:rsidR="00FE1B9B" w:rsidRDefault="00FE1B9B" w:rsidP="003A1B60">
            <w:pPr>
              <w:pStyle w:val="TableBullet"/>
            </w:pPr>
            <w:r>
              <w:t xml:space="preserve">Concept: evolving alternate representations and meaning </w:t>
            </w:r>
          </w:p>
          <w:p w:rsidR="00FE1B9B" w:rsidRDefault="00FE1B9B" w:rsidP="003A1B60">
            <w:pPr>
              <w:pStyle w:val="TableBullet"/>
            </w:pPr>
            <w:r>
              <w:t xml:space="preserve">Contexts: contemporary and personal, cultural and/or formal </w:t>
            </w:r>
          </w:p>
          <w:p w:rsidR="00FE1B9B" w:rsidRDefault="00FE1B9B" w:rsidP="003A1B60">
            <w:pPr>
              <w:pStyle w:val="TableBullet"/>
            </w:pPr>
            <w:r>
              <w:t xml:space="preserve">Focus: continued exploration of Unit 3 student-directed focus </w:t>
            </w:r>
          </w:p>
          <w:p w:rsidR="00FE1B9B" w:rsidRDefault="00FE1B9B" w:rsidP="00FE0522">
            <w:pPr>
              <w:pStyle w:val="TableBullet"/>
            </w:pPr>
            <w:r>
              <w:t>Media: student</w:t>
            </w:r>
            <w:r w:rsidR="00FE0522">
              <w:t>-</w:t>
            </w:r>
            <w:r>
              <w:t>directed</w:t>
            </w:r>
          </w:p>
        </w:tc>
      </w:tr>
    </w:tbl>
    <w:p w:rsidR="00FE1B9B" w:rsidRDefault="00FE1B9B" w:rsidP="00FE1B9B">
      <w:pPr>
        <w:pStyle w:val="Heading3"/>
      </w:pPr>
      <w:bookmarkStart w:id="320" w:name="_Toc16163675"/>
      <w:r>
        <w:t>Assessment</w:t>
      </w:r>
      <w:bookmarkEnd w:id="320"/>
    </w:p>
    <w:p w:rsidR="00FE1B9B" w:rsidRDefault="00FE1B9B" w:rsidP="00FE1B9B">
      <w:pPr>
        <w:pStyle w:val="BodyText"/>
      </w:pPr>
      <w:r>
        <w:t>S</w:t>
      </w:r>
      <w:r w:rsidRPr="008C3C06">
        <w:t>chools devise assessment</w:t>
      </w:r>
      <w:r>
        <w:t>s</w:t>
      </w:r>
      <w:r w:rsidRPr="008C3C06">
        <w:t xml:space="preserve"> </w:t>
      </w:r>
      <w:r>
        <w:t>i</w:t>
      </w:r>
      <w:r w:rsidRPr="008C3C06">
        <w:t>n Units 1 and 2 to suit their local context.</w:t>
      </w:r>
      <w:r>
        <w:t xml:space="preserve"> </w:t>
      </w:r>
    </w:p>
    <w:p w:rsidR="00FE1B9B" w:rsidRDefault="00FE1B9B" w:rsidP="00FE1B9B">
      <w:pPr>
        <w:pStyle w:val="BodyText"/>
      </w:pPr>
      <w:r>
        <w:t>I</w:t>
      </w:r>
      <w:r w:rsidRPr="008C3C06">
        <w:t xml:space="preserve">n Units 3 and 4 </w:t>
      </w:r>
      <w:r>
        <w:t>s</w:t>
      </w:r>
      <w:r w:rsidRPr="008C3C06">
        <w:t>tudents complete four summative assessments</w:t>
      </w:r>
      <w:r>
        <w:t>. The results from each of the assessments are added together to provi</w:t>
      </w:r>
      <w:r w:rsidR="00A80A4B">
        <w:t xml:space="preserve">de a subject score out of 100. </w:t>
      </w:r>
      <w:r>
        <w:t>Students will also receive an overall subject result (A–E).</w:t>
      </w:r>
    </w:p>
    <w:p w:rsidR="00FE1B9B" w:rsidRDefault="00FE1B9B" w:rsidP="002D55F4">
      <w:pPr>
        <w:pStyle w:val="Caption"/>
        <w:rPr>
          <w:noProof/>
        </w:rPr>
      </w:pPr>
      <w:r>
        <w:t>Summative assessments</w:t>
      </w:r>
    </w:p>
    <w:tbl>
      <w:tblPr>
        <w:tblStyle w:val="QCAAtablestyle1"/>
        <w:tblW w:w="4900" w:type="pct"/>
        <w:tblLayout w:type="fixed"/>
        <w:tblLook w:val="04A0" w:firstRow="1" w:lastRow="0" w:firstColumn="1" w:lastColumn="0" w:noHBand="0" w:noVBand="1"/>
      </w:tblPr>
      <w:tblGrid>
        <w:gridCol w:w="3677"/>
        <w:gridCol w:w="704"/>
        <w:gridCol w:w="3795"/>
        <w:gridCol w:w="704"/>
      </w:tblGrid>
      <w:tr w:rsidR="00FE1B9B" w:rsidTr="00082254">
        <w:trPr>
          <w:cnfStyle w:val="100000000000" w:firstRow="1" w:lastRow="0" w:firstColumn="0" w:lastColumn="0" w:oddVBand="0" w:evenVBand="0" w:oddHBand="0" w:evenHBand="0" w:firstRowFirstColumn="0" w:firstRowLastColumn="0" w:lastRowFirstColumn="0" w:lastRowLastColumn="0"/>
        </w:trPr>
        <w:tc>
          <w:tcPr>
            <w:tcW w:w="4418" w:type="dxa"/>
            <w:gridSpan w:val="2"/>
          </w:tcPr>
          <w:p w:rsidR="00FE1B9B" w:rsidRDefault="00FE1B9B" w:rsidP="003A1B60">
            <w:pPr>
              <w:pStyle w:val="Tableheading"/>
            </w:pPr>
            <w:r>
              <w:t>Unit 3</w:t>
            </w:r>
          </w:p>
        </w:tc>
        <w:tc>
          <w:tcPr>
            <w:tcW w:w="4536" w:type="dxa"/>
            <w:gridSpan w:val="2"/>
          </w:tcPr>
          <w:p w:rsidR="00FE1B9B" w:rsidRDefault="00FE1B9B" w:rsidP="003A1B60">
            <w:pPr>
              <w:pStyle w:val="Tableheading"/>
            </w:pPr>
            <w:r>
              <w:t>Unit 4</w:t>
            </w:r>
          </w:p>
        </w:tc>
      </w:tr>
      <w:tr w:rsidR="00FE1B9B" w:rsidTr="00082254">
        <w:tc>
          <w:tcPr>
            <w:tcW w:w="3710" w:type="dxa"/>
          </w:tcPr>
          <w:p w:rsidR="00FE1B9B" w:rsidRDefault="00FE1B9B" w:rsidP="003A1B60">
            <w:pPr>
              <w:pStyle w:val="Tabletext"/>
            </w:pPr>
            <w:r>
              <w:t xml:space="preserve">Summative internal assessment 1 (IA1): </w:t>
            </w:r>
          </w:p>
          <w:p w:rsidR="00FE1B9B" w:rsidRDefault="00FE1B9B" w:rsidP="00821D22">
            <w:pPr>
              <w:pStyle w:val="TableBullet"/>
            </w:pPr>
            <w:r>
              <w:t xml:space="preserve">Investigation </w:t>
            </w:r>
            <w:r w:rsidR="00821D22">
              <w:t xml:space="preserve">— </w:t>
            </w:r>
            <w:r>
              <w:t>inquiry phase 1</w:t>
            </w:r>
          </w:p>
        </w:tc>
        <w:tc>
          <w:tcPr>
            <w:tcW w:w="708" w:type="dxa"/>
          </w:tcPr>
          <w:p w:rsidR="00FE1B9B" w:rsidRDefault="00FE1B9B" w:rsidP="003A1B60">
            <w:pPr>
              <w:pStyle w:val="Tabletext"/>
            </w:pPr>
            <w:r>
              <w:t>15%</w:t>
            </w:r>
          </w:p>
        </w:tc>
        <w:tc>
          <w:tcPr>
            <w:tcW w:w="3828" w:type="dxa"/>
            <w:vMerge w:val="restart"/>
          </w:tcPr>
          <w:p w:rsidR="00FE1B9B" w:rsidRDefault="00FE1B9B" w:rsidP="003A1B60">
            <w:pPr>
              <w:pStyle w:val="Tabletext"/>
            </w:pPr>
            <w:r>
              <w:t xml:space="preserve">Summative internal assessment 3 (IA3): </w:t>
            </w:r>
          </w:p>
          <w:p w:rsidR="00FE1B9B" w:rsidRDefault="00FE1B9B" w:rsidP="003A1B60">
            <w:pPr>
              <w:pStyle w:val="TableBullet"/>
            </w:pPr>
            <w:r>
              <w:t>Project — inquiry phase 3</w:t>
            </w:r>
          </w:p>
        </w:tc>
        <w:tc>
          <w:tcPr>
            <w:tcW w:w="708" w:type="dxa"/>
            <w:vMerge w:val="restart"/>
          </w:tcPr>
          <w:p w:rsidR="00FE1B9B" w:rsidRDefault="00FE1B9B" w:rsidP="003A1B60">
            <w:pPr>
              <w:pStyle w:val="Tabletext"/>
            </w:pPr>
            <w:r>
              <w:t>35%</w:t>
            </w:r>
          </w:p>
          <w:p w:rsidR="00FE1B9B" w:rsidRDefault="00FE1B9B" w:rsidP="003A1B60">
            <w:pPr>
              <w:pStyle w:val="Tabletext"/>
            </w:pPr>
          </w:p>
        </w:tc>
      </w:tr>
      <w:tr w:rsidR="00FE1B9B" w:rsidTr="00082254">
        <w:tc>
          <w:tcPr>
            <w:tcW w:w="3710" w:type="dxa"/>
          </w:tcPr>
          <w:p w:rsidR="00FE1B9B" w:rsidRDefault="00FE1B9B" w:rsidP="003A1B60">
            <w:pPr>
              <w:pStyle w:val="Tabletext"/>
            </w:pPr>
            <w:r>
              <w:t>Summativ</w:t>
            </w:r>
            <w:r w:rsidR="00A80A4B">
              <w:t xml:space="preserve">e internal assessment 2 (IA2): </w:t>
            </w:r>
          </w:p>
          <w:p w:rsidR="00FE1B9B" w:rsidRDefault="00FE1B9B" w:rsidP="003A1B60">
            <w:pPr>
              <w:pStyle w:val="TableBullet"/>
            </w:pPr>
            <w:r>
              <w:t>Project — inquiry phase 2</w:t>
            </w:r>
          </w:p>
        </w:tc>
        <w:tc>
          <w:tcPr>
            <w:tcW w:w="708" w:type="dxa"/>
          </w:tcPr>
          <w:p w:rsidR="00FE1B9B" w:rsidRDefault="00FE1B9B" w:rsidP="003A1B60">
            <w:pPr>
              <w:pStyle w:val="Tabletext"/>
            </w:pPr>
            <w:r>
              <w:t>25%</w:t>
            </w:r>
          </w:p>
        </w:tc>
        <w:tc>
          <w:tcPr>
            <w:tcW w:w="3828" w:type="dxa"/>
            <w:vMerge/>
          </w:tcPr>
          <w:p w:rsidR="00FE1B9B" w:rsidRDefault="00FE1B9B" w:rsidP="003A1B60">
            <w:pPr>
              <w:pStyle w:val="TableBullet"/>
              <w:numPr>
                <w:ilvl w:val="0"/>
                <w:numId w:val="0"/>
              </w:numPr>
              <w:ind w:left="170"/>
            </w:pPr>
          </w:p>
        </w:tc>
        <w:tc>
          <w:tcPr>
            <w:tcW w:w="708" w:type="dxa"/>
            <w:vMerge/>
          </w:tcPr>
          <w:p w:rsidR="00FE1B9B" w:rsidRDefault="00FE1B9B" w:rsidP="003A1B60">
            <w:pPr>
              <w:pStyle w:val="Tabletext"/>
            </w:pPr>
          </w:p>
        </w:tc>
      </w:tr>
      <w:tr w:rsidR="00FE1B9B" w:rsidTr="00082254">
        <w:tc>
          <w:tcPr>
            <w:tcW w:w="8954" w:type="dxa"/>
            <w:gridSpan w:val="4"/>
          </w:tcPr>
          <w:p w:rsidR="00FE1B9B" w:rsidRDefault="00FE1B9B" w:rsidP="00A80A4B">
            <w:pPr>
              <w:pStyle w:val="Tabletext"/>
              <w:jc w:val="center"/>
            </w:pPr>
            <w:r>
              <w:t>Summative external assessment (EA): 25%</w:t>
            </w:r>
          </w:p>
          <w:p w:rsidR="00FE1B9B" w:rsidRDefault="00FA7369" w:rsidP="00A80A4B">
            <w:pPr>
              <w:pStyle w:val="TableBullet"/>
              <w:jc w:val="center"/>
            </w:pPr>
            <w:r>
              <w:t>Examination</w:t>
            </w:r>
          </w:p>
        </w:tc>
      </w:tr>
    </w:tbl>
    <w:p w:rsidR="00FE1B9B" w:rsidRDefault="00FE1B9B" w:rsidP="00FE1B9B"/>
    <w:p w:rsidR="00A0725F" w:rsidRDefault="00FE1B9B" w:rsidP="00FE1B9B">
      <w:r>
        <w:br w:type="page"/>
      </w:r>
    </w:p>
    <w:p w:rsidR="003041DF" w:rsidRDefault="003041DF" w:rsidP="003041DF"/>
    <w:tbl>
      <w:tblPr>
        <w:tblStyle w:val="TextLayout"/>
        <w:tblW w:w="5650" w:type="pct"/>
        <w:tblInd w:w="-170" w:type="dxa"/>
        <w:tblLayout w:type="fixed"/>
        <w:tblLook w:val="04A0" w:firstRow="1" w:lastRow="0" w:firstColumn="1" w:lastColumn="0" w:noHBand="0" w:noVBand="1"/>
      </w:tblPr>
      <w:tblGrid>
        <w:gridCol w:w="141"/>
        <w:gridCol w:w="9264"/>
        <w:gridCol w:w="845"/>
      </w:tblGrid>
      <w:tr w:rsidR="002037BC" w:rsidRPr="003B6F39" w:rsidTr="002037BC">
        <w:trPr>
          <w:trHeight w:hRule="exact" w:val="851"/>
        </w:trPr>
        <w:tc>
          <w:tcPr>
            <w:tcW w:w="142" w:type="dxa"/>
            <w:shd w:val="clear" w:color="auto" w:fill="6858A9"/>
          </w:tcPr>
          <w:p w:rsidR="002037BC" w:rsidRDefault="002037BC" w:rsidP="002037BC">
            <w:pPr>
              <w:pStyle w:val="Tabletext"/>
            </w:pPr>
          </w:p>
        </w:tc>
        <w:tc>
          <w:tcPr>
            <w:tcW w:w="9323" w:type="dxa"/>
            <w:tcMar>
              <w:left w:w="57" w:type="dxa"/>
            </w:tcMar>
            <w:vAlign w:val="center"/>
          </w:tcPr>
          <w:p w:rsidR="002037BC" w:rsidRDefault="002037BC" w:rsidP="009F47CD">
            <w:pPr>
              <w:pStyle w:val="SubjectHeading"/>
            </w:pPr>
            <w:r>
              <w:t>Media Arts in Practice</w:t>
            </w:r>
          </w:p>
          <w:p w:rsidR="002037BC" w:rsidRPr="00E86C01" w:rsidRDefault="002037BC" w:rsidP="002037BC">
            <w:pPr>
              <w:pStyle w:val="Heading3"/>
              <w:spacing w:before="0" w:after="0"/>
            </w:pPr>
            <w:bookmarkStart w:id="321" w:name="_Toc16163676"/>
            <w:r>
              <w:t>Applied senior subject</w:t>
            </w:r>
            <w:bookmarkEnd w:id="321"/>
          </w:p>
        </w:tc>
        <w:tc>
          <w:tcPr>
            <w:tcW w:w="850" w:type="dxa"/>
            <w:shd w:val="clear" w:color="auto" w:fill="6858A9"/>
            <w:tcMar>
              <w:bottom w:w="28" w:type="dxa"/>
              <w:right w:w="57" w:type="dxa"/>
            </w:tcMar>
            <w:vAlign w:val="bottom"/>
          </w:tcPr>
          <w:p w:rsidR="002037BC" w:rsidRPr="007642FE" w:rsidRDefault="002037BC" w:rsidP="002037BC">
            <w:pPr>
              <w:pStyle w:val="Heading3"/>
              <w:spacing w:before="0" w:after="100" w:afterAutospacing="1"/>
              <w:jc w:val="right"/>
              <w:rPr>
                <w:color w:val="FFFFFF" w:themeColor="background1"/>
                <w:sz w:val="17"/>
                <w:szCs w:val="17"/>
              </w:rPr>
            </w:pPr>
            <w:bookmarkStart w:id="322" w:name="_Toc16163677"/>
            <w:r>
              <w:rPr>
                <w:color w:val="FFFFFF" w:themeColor="background1"/>
                <w:sz w:val="17"/>
                <w:szCs w:val="17"/>
              </w:rPr>
              <w:t>Applied</w:t>
            </w:r>
            <w:bookmarkEnd w:id="322"/>
          </w:p>
        </w:tc>
      </w:tr>
      <w:tr w:rsidR="002037BC" w:rsidRPr="003B6F39" w:rsidTr="002037BC">
        <w:trPr>
          <w:trHeight w:hRule="exact" w:val="113"/>
        </w:trPr>
        <w:tc>
          <w:tcPr>
            <w:tcW w:w="10315" w:type="dxa"/>
            <w:gridSpan w:val="3"/>
            <w:shd w:val="clear" w:color="auto" w:fill="auto"/>
          </w:tcPr>
          <w:p w:rsidR="002037BC" w:rsidRPr="00E86C01" w:rsidRDefault="002037BC" w:rsidP="002037BC">
            <w:pPr>
              <w:pStyle w:val="Smallspace"/>
            </w:pPr>
          </w:p>
        </w:tc>
      </w:tr>
    </w:tbl>
    <w:p w:rsidR="003041DF" w:rsidRDefault="003041DF" w:rsidP="00931F7C">
      <w:pPr>
        <w:pStyle w:val="BodyText"/>
        <w:spacing w:before="120"/>
        <w:rPr>
          <w:noProof/>
        </w:rPr>
        <w:sectPr w:rsidR="003041DF" w:rsidSect="00DF3BE9">
          <w:headerReference w:type="default" r:id="rId43"/>
          <w:type w:val="continuous"/>
          <w:pgSz w:w="11907" w:h="16840" w:code="9"/>
          <w:pgMar w:top="1134" w:right="1418" w:bottom="1701" w:left="1418" w:header="567" w:footer="284" w:gutter="0"/>
          <w:cols w:space="720"/>
          <w:formProt w:val="0"/>
          <w:noEndnote/>
          <w:docGrid w:linePitch="299"/>
        </w:sectPr>
      </w:pPr>
    </w:p>
    <w:p w:rsidR="003041DF" w:rsidRPr="002E14D3" w:rsidRDefault="003041DF" w:rsidP="003041DF">
      <w:pPr>
        <w:pStyle w:val="BodyText"/>
      </w:pPr>
      <w:r w:rsidRPr="002E14D3">
        <w:t xml:space="preserve">Media Arts in Practice </w:t>
      </w:r>
      <w:r w:rsidRPr="00F114AF">
        <w:t xml:space="preserve">focuses on the role media arts plays in the community </w:t>
      </w:r>
      <w:r w:rsidRPr="006A57CF">
        <w:t>in reflecting and shaping society’s values, attitudes and beliefs</w:t>
      </w:r>
      <w:r>
        <w:t xml:space="preserve">. It provides </w:t>
      </w:r>
      <w:r w:rsidRPr="002E14D3">
        <w:t xml:space="preserve">opportunities </w:t>
      </w:r>
      <w:r>
        <w:t xml:space="preserve">for students </w:t>
      </w:r>
      <w:r w:rsidRPr="002E14D3">
        <w:t xml:space="preserve">to create and share media artworks that convey meaning and express insight. </w:t>
      </w:r>
    </w:p>
    <w:p w:rsidR="003041DF" w:rsidRPr="002E14D3" w:rsidRDefault="003041DF" w:rsidP="003041DF">
      <w:pPr>
        <w:pStyle w:val="BodyText"/>
      </w:pPr>
      <w:r w:rsidRPr="002E14D3">
        <w:t xml:space="preserve">Students learn how to apply media technologies in real-world contexts to solve technical and/or creative problems. </w:t>
      </w:r>
      <w:r w:rsidR="00E04B36">
        <w:t>When engaging with school and/or local community activities, t</w:t>
      </w:r>
      <w:r>
        <w:t>hey</w:t>
      </w:r>
      <w:r w:rsidRPr="002E14D3">
        <w:t xml:space="preserve"> gain an appreciation of how media communications connect ideas and purposes </w:t>
      </w:r>
      <w:r w:rsidR="00DD53EE">
        <w:t>with audiences. They u</w:t>
      </w:r>
      <w:r w:rsidRPr="002E14D3">
        <w:t xml:space="preserve">se their knowledge and understanding of design elements and principles to </w:t>
      </w:r>
      <w:r>
        <w:t>develop their own works and</w:t>
      </w:r>
      <w:r w:rsidRPr="002E14D3">
        <w:t xml:space="preserve"> to evaluate and reflect on their own and others’ art-making processes and aesthetic choices.</w:t>
      </w:r>
    </w:p>
    <w:p w:rsidR="003041DF" w:rsidRDefault="003041DF" w:rsidP="003041DF">
      <w:pPr>
        <w:pStyle w:val="BodyText"/>
      </w:pPr>
      <w:r w:rsidRPr="00816AA9">
        <w:t xml:space="preserve">Students learn to be ethical and responsible users of and advocates for digital technologies, and aware of the social, environmental and legal impacts of their actions and practices. </w:t>
      </w:r>
      <w:r w:rsidDel="00816AA9">
        <w:rPr>
          <w:noProof/>
        </w:rPr>
        <w:t xml:space="preserve"> </w:t>
      </w:r>
    </w:p>
    <w:p w:rsidR="003041DF" w:rsidRDefault="003041DF" w:rsidP="003041DF">
      <w:pPr>
        <w:pStyle w:val="Heading3"/>
      </w:pPr>
      <w:bookmarkStart w:id="323" w:name="_Toc16163678"/>
      <w:r>
        <w:t>Pathways</w:t>
      </w:r>
      <w:bookmarkEnd w:id="323"/>
    </w:p>
    <w:p w:rsidR="003041DF" w:rsidRPr="002E14D3" w:rsidRDefault="003041DF" w:rsidP="003041DF">
      <w:pPr>
        <w:pStyle w:val="BodyText"/>
      </w:pPr>
      <w:r w:rsidRPr="002E14D3">
        <w:t xml:space="preserve">A course of study in Media Arts in Practice can establish a basis for further education and employment in </w:t>
      </w:r>
      <w:r w:rsidR="009963C6">
        <w:t xml:space="preserve">a </w:t>
      </w:r>
      <w:r w:rsidR="00DD53EE">
        <w:t xml:space="preserve">dynamic, creative and global industry that is constantly adapting to new technologies. </w:t>
      </w:r>
    </w:p>
    <w:p w:rsidR="003041DF" w:rsidRDefault="003041DF" w:rsidP="004C0ED2">
      <w:pPr>
        <w:pStyle w:val="Heading3"/>
        <w:spacing w:before="120"/>
      </w:pPr>
      <w:bookmarkStart w:id="324" w:name="_Toc16163679"/>
      <w:r>
        <w:t>Objectives</w:t>
      </w:r>
      <w:bookmarkEnd w:id="324"/>
    </w:p>
    <w:p w:rsidR="003041DF" w:rsidRPr="008C3C06" w:rsidRDefault="003041DF" w:rsidP="005E79BB">
      <w:pPr>
        <w:pStyle w:val="BodyText"/>
      </w:pPr>
      <w:r w:rsidRPr="008C3C06">
        <w:t>By the conclusion of the course of study, students should:</w:t>
      </w:r>
    </w:p>
    <w:p w:rsidR="003041DF" w:rsidRPr="00BA182E" w:rsidRDefault="003041DF" w:rsidP="003041DF">
      <w:pPr>
        <w:pStyle w:val="ListBullet0"/>
      </w:pPr>
      <w:r w:rsidRPr="00BA182E">
        <w:t>identify and explain media art-making processes</w:t>
      </w:r>
    </w:p>
    <w:p w:rsidR="003041DF" w:rsidRPr="00BA182E" w:rsidRDefault="003041DF" w:rsidP="003041DF">
      <w:pPr>
        <w:pStyle w:val="ListBullet0"/>
      </w:pPr>
      <w:r w:rsidRPr="00BA182E">
        <w:t>interpret information about media arts concepts and ideas for particular purposes</w:t>
      </w:r>
    </w:p>
    <w:p w:rsidR="003041DF" w:rsidRDefault="003041DF" w:rsidP="003041DF">
      <w:pPr>
        <w:pStyle w:val="ListBullet0"/>
      </w:pPr>
      <w:r w:rsidRPr="00BA182E">
        <w:t>demonstrate practical skills, techniques and technologies required for media arts</w:t>
      </w:r>
    </w:p>
    <w:p w:rsidR="003041DF" w:rsidRPr="00BA182E" w:rsidRDefault="003041DF" w:rsidP="003041DF">
      <w:pPr>
        <w:pStyle w:val="ListBullet0"/>
      </w:pPr>
      <w:r w:rsidRPr="00BA182E">
        <w:t>organise and apply media art-making processes, concepts and ideas</w:t>
      </w:r>
    </w:p>
    <w:p w:rsidR="003041DF" w:rsidRPr="00BA182E" w:rsidRDefault="003041DF" w:rsidP="003041DF">
      <w:pPr>
        <w:pStyle w:val="ListBullet0"/>
      </w:pPr>
      <w:r w:rsidRPr="00BA182E">
        <w:t>analyse problems within media arts contexts</w:t>
      </w:r>
    </w:p>
    <w:p w:rsidR="003041DF" w:rsidRPr="00BA182E" w:rsidRDefault="003041DF" w:rsidP="003041DF">
      <w:pPr>
        <w:pStyle w:val="ListBullet0"/>
      </w:pPr>
      <w:r w:rsidRPr="00BA182E">
        <w:t>use language conventions and features to communicate ideas and information about media arts, according to context and purpose</w:t>
      </w:r>
    </w:p>
    <w:p w:rsidR="003041DF" w:rsidRPr="00BA182E" w:rsidRDefault="003041DF" w:rsidP="003041DF">
      <w:pPr>
        <w:pStyle w:val="ListBullet0"/>
      </w:pPr>
      <w:r w:rsidRPr="00BA182E">
        <w:t>plan and modify media artworks using media art-making processes to achieve purposes</w:t>
      </w:r>
    </w:p>
    <w:p w:rsidR="003041DF" w:rsidRPr="00BA182E" w:rsidRDefault="003041DF" w:rsidP="003041DF">
      <w:pPr>
        <w:pStyle w:val="ListBullet0"/>
      </w:pPr>
      <w:r w:rsidRPr="00BA182E">
        <w:t>create media arts communications that convey meaning to audiences</w:t>
      </w:r>
    </w:p>
    <w:p w:rsidR="003041DF" w:rsidRPr="00BA182E" w:rsidRDefault="003041DF" w:rsidP="003041DF">
      <w:pPr>
        <w:pStyle w:val="ListBullet0"/>
      </w:pPr>
      <w:r w:rsidRPr="00BA182E">
        <w:t>evaluate media art-making processes and media artwork concepts and ideas</w:t>
      </w:r>
      <w:r>
        <w:t>.</w:t>
      </w:r>
    </w:p>
    <w:p w:rsidR="003041DF" w:rsidRDefault="003041DF" w:rsidP="00931F7C">
      <w:pPr>
        <w:pStyle w:val="Heading3"/>
        <w:sectPr w:rsidR="003041DF" w:rsidSect="00500900">
          <w:type w:val="continuous"/>
          <w:pgSz w:w="11907" w:h="16840" w:code="9"/>
          <w:pgMar w:top="1134" w:right="1418" w:bottom="1701" w:left="1418" w:header="567" w:footer="284" w:gutter="0"/>
          <w:cols w:num="2" w:space="720"/>
          <w:formProt w:val="0"/>
          <w:noEndnote/>
          <w:docGrid w:linePitch="299"/>
        </w:sectPr>
      </w:pPr>
    </w:p>
    <w:p w:rsidR="00931F7C" w:rsidRDefault="00931F7C" w:rsidP="004C0ED2">
      <w:pPr>
        <w:pStyle w:val="Heading3"/>
        <w:spacing w:before="360"/>
      </w:pPr>
      <w:bookmarkStart w:id="325" w:name="_Toc16163680"/>
      <w:r>
        <w:t>Structure</w:t>
      </w:r>
      <w:bookmarkEnd w:id="325"/>
    </w:p>
    <w:p w:rsidR="00DE68EA" w:rsidRPr="002056D5" w:rsidRDefault="00A04C0D" w:rsidP="00DE68EA">
      <w:pPr>
        <w:pStyle w:val="BodyText"/>
      </w:pPr>
      <w:r>
        <w:t xml:space="preserve">The </w:t>
      </w:r>
      <w:r w:rsidR="00DE68EA">
        <w:t>Media Arts in Practice</w:t>
      </w:r>
      <w:r>
        <w:t xml:space="preserve"> course</w:t>
      </w:r>
      <w:r w:rsidR="00DE68EA">
        <w:t xml:space="preserve"> is designed around core and elective topics. </w:t>
      </w:r>
    </w:p>
    <w:tbl>
      <w:tblPr>
        <w:tblStyle w:val="QCAAtablestyle1"/>
        <w:tblW w:w="4900" w:type="pct"/>
        <w:tblLook w:val="04A0" w:firstRow="1" w:lastRow="0" w:firstColumn="1" w:lastColumn="0" w:noHBand="0" w:noVBand="1"/>
      </w:tblPr>
      <w:tblGrid>
        <w:gridCol w:w="4476"/>
        <w:gridCol w:w="4404"/>
      </w:tblGrid>
      <w:tr w:rsidR="00DE68EA" w:rsidTr="00D4592E">
        <w:trPr>
          <w:cnfStyle w:val="100000000000" w:firstRow="1" w:lastRow="0" w:firstColumn="0" w:lastColumn="0" w:oddVBand="0" w:evenVBand="0" w:oddHBand="0" w:evenHBand="0" w:firstRowFirstColumn="0" w:firstRowLastColumn="0" w:lastRowFirstColumn="0" w:lastRowLastColumn="0"/>
        </w:trPr>
        <w:tc>
          <w:tcPr>
            <w:tcW w:w="4560" w:type="dxa"/>
          </w:tcPr>
          <w:p w:rsidR="00DE68EA" w:rsidRPr="00DE68EA" w:rsidRDefault="00DE68EA" w:rsidP="00DE68EA">
            <w:pPr>
              <w:pStyle w:val="Tableheading"/>
            </w:pPr>
            <w:r w:rsidRPr="00DE68EA">
              <w:t>Core</w:t>
            </w:r>
          </w:p>
        </w:tc>
        <w:tc>
          <w:tcPr>
            <w:tcW w:w="4501" w:type="dxa"/>
          </w:tcPr>
          <w:p w:rsidR="00DE68EA" w:rsidRPr="00DE68EA" w:rsidRDefault="00DE68EA" w:rsidP="00DE68EA">
            <w:pPr>
              <w:pStyle w:val="Tableheading"/>
            </w:pPr>
            <w:r w:rsidRPr="00DE68EA">
              <w:t>Electives</w:t>
            </w:r>
          </w:p>
        </w:tc>
      </w:tr>
      <w:tr w:rsidR="00DE68EA" w:rsidTr="00D4592E">
        <w:tc>
          <w:tcPr>
            <w:tcW w:w="4560" w:type="dxa"/>
          </w:tcPr>
          <w:p w:rsidR="00DE68EA" w:rsidRDefault="00DE68EA" w:rsidP="0074696D">
            <w:pPr>
              <w:pStyle w:val="TableBullet"/>
            </w:pPr>
            <w:r>
              <w:t>Media technologies</w:t>
            </w:r>
          </w:p>
          <w:p w:rsidR="00DE68EA" w:rsidRDefault="00DE68EA" w:rsidP="0074696D">
            <w:pPr>
              <w:pStyle w:val="TableBullet"/>
            </w:pPr>
            <w:r>
              <w:t>Media communications</w:t>
            </w:r>
          </w:p>
          <w:p w:rsidR="00DE68EA" w:rsidRDefault="00DE68EA" w:rsidP="0074696D">
            <w:pPr>
              <w:pStyle w:val="TableBullet"/>
            </w:pPr>
            <w:r>
              <w:t>Media in society</w:t>
            </w:r>
          </w:p>
        </w:tc>
        <w:tc>
          <w:tcPr>
            <w:tcW w:w="4501" w:type="dxa"/>
          </w:tcPr>
          <w:p w:rsidR="00DE68EA" w:rsidRDefault="00DE68EA" w:rsidP="0074696D">
            <w:pPr>
              <w:pStyle w:val="TableBullet"/>
            </w:pPr>
            <w:r>
              <w:t>Audio</w:t>
            </w:r>
          </w:p>
          <w:p w:rsidR="00DE68EA" w:rsidRDefault="00DE68EA" w:rsidP="0074696D">
            <w:pPr>
              <w:pStyle w:val="TableBullet"/>
            </w:pPr>
            <w:r>
              <w:t>Curating</w:t>
            </w:r>
          </w:p>
          <w:p w:rsidR="00DE68EA" w:rsidRDefault="00DE68EA" w:rsidP="0074696D">
            <w:pPr>
              <w:pStyle w:val="TableBullet"/>
            </w:pPr>
            <w:r>
              <w:t>Graphic design</w:t>
            </w:r>
          </w:p>
          <w:p w:rsidR="00DE68EA" w:rsidRDefault="00DE68EA" w:rsidP="0074696D">
            <w:pPr>
              <w:pStyle w:val="TableBullet"/>
            </w:pPr>
            <w:r>
              <w:t>Interactive media</w:t>
            </w:r>
          </w:p>
          <w:p w:rsidR="00DE68EA" w:rsidRDefault="00DE68EA" w:rsidP="0074696D">
            <w:pPr>
              <w:pStyle w:val="TableBullet"/>
            </w:pPr>
            <w:r>
              <w:t>Moving images</w:t>
            </w:r>
          </w:p>
          <w:p w:rsidR="00DE68EA" w:rsidRDefault="00DE68EA" w:rsidP="0074696D">
            <w:pPr>
              <w:pStyle w:val="TableBullet"/>
            </w:pPr>
            <w:r>
              <w:t>Still image</w:t>
            </w:r>
          </w:p>
        </w:tc>
      </w:tr>
    </w:tbl>
    <w:p w:rsidR="00931F7C" w:rsidRDefault="00931F7C" w:rsidP="00931F7C">
      <w:pPr>
        <w:pStyle w:val="Heading3"/>
      </w:pPr>
      <w:bookmarkStart w:id="326" w:name="_Toc16163681"/>
      <w:r>
        <w:t>Assessment</w:t>
      </w:r>
      <w:bookmarkEnd w:id="326"/>
    </w:p>
    <w:p w:rsidR="00DE68EA" w:rsidRDefault="007F1064" w:rsidP="00DE68EA">
      <w:pPr>
        <w:pStyle w:val="BodyText"/>
        <w:spacing w:before="120"/>
        <w:rPr>
          <w:noProof/>
        </w:rPr>
      </w:pPr>
      <w:r>
        <w:rPr>
          <w:noProof/>
        </w:rPr>
        <w:t>For Media Arts in Practice, a</w:t>
      </w:r>
      <w:r w:rsidR="00DE68EA">
        <w:rPr>
          <w:noProof/>
        </w:rPr>
        <w:t>ssessment from Units 3 and 4 is used to determine the student’s exit result</w:t>
      </w:r>
      <w:r>
        <w:rPr>
          <w:noProof/>
        </w:rPr>
        <w:t>, and</w:t>
      </w:r>
      <w:r w:rsidR="009963C6">
        <w:rPr>
          <w:noProof/>
        </w:rPr>
        <w:t xml:space="preserve"> </w:t>
      </w:r>
      <w:r w:rsidR="00DE68EA">
        <w:rPr>
          <w:noProof/>
        </w:rPr>
        <w:t>consists of four instruments</w:t>
      </w:r>
      <w:r w:rsidR="009963C6">
        <w:rPr>
          <w:noProof/>
        </w:rPr>
        <w:t>,</w:t>
      </w:r>
      <w:r w:rsidR="00DE68EA">
        <w:rPr>
          <w:noProof/>
        </w:rPr>
        <w:t xml:space="preserve"> including:</w:t>
      </w:r>
    </w:p>
    <w:p w:rsidR="00DE68EA" w:rsidRPr="0074696D" w:rsidRDefault="00DE68EA" w:rsidP="0074696D">
      <w:pPr>
        <w:pStyle w:val="ListBullet0"/>
      </w:pPr>
      <w:r w:rsidRPr="0074696D">
        <w:t>at least two projects, with at least one project arising from community connections</w:t>
      </w:r>
    </w:p>
    <w:p w:rsidR="00DE68EA" w:rsidRPr="0074696D" w:rsidRDefault="00DE68EA" w:rsidP="0074696D">
      <w:pPr>
        <w:pStyle w:val="ListBullet0"/>
      </w:pPr>
      <w:r w:rsidRPr="0074696D">
        <w:t>at least one product</w:t>
      </w:r>
      <w:r w:rsidR="00801B95">
        <w:t xml:space="preserve">, </w:t>
      </w:r>
      <w:r w:rsidRPr="0074696D">
        <w:t>separate to an assessable component of a project.</w:t>
      </w:r>
    </w:p>
    <w:tbl>
      <w:tblPr>
        <w:tblStyle w:val="QCAAtablestyle1"/>
        <w:tblW w:w="4900" w:type="pct"/>
        <w:tblLook w:val="04A0" w:firstRow="1" w:lastRow="0" w:firstColumn="1" w:lastColumn="0" w:noHBand="0" w:noVBand="1"/>
      </w:tblPr>
      <w:tblGrid>
        <w:gridCol w:w="2216"/>
        <w:gridCol w:w="2206"/>
        <w:gridCol w:w="2230"/>
        <w:gridCol w:w="2228"/>
      </w:tblGrid>
      <w:tr w:rsidR="00DE68EA" w:rsidTr="0029403E">
        <w:trPr>
          <w:cnfStyle w:val="100000000000" w:firstRow="1" w:lastRow="0" w:firstColumn="0" w:lastColumn="0" w:oddVBand="0" w:evenVBand="0" w:oddHBand="0" w:evenHBand="0" w:firstRowFirstColumn="0" w:firstRowLastColumn="0" w:lastRowFirstColumn="0" w:lastRowLastColumn="0"/>
        </w:trPr>
        <w:tc>
          <w:tcPr>
            <w:tcW w:w="2232" w:type="dxa"/>
          </w:tcPr>
          <w:p w:rsidR="00DE68EA" w:rsidRDefault="00DE68EA" w:rsidP="0074696D">
            <w:pPr>
              <w:pStyle w:val="Tableheading"/>
            </w:pPr>
            <w:r>
              <w:t>Project</w:t>
            </w:r>
          </w:p>
        </w:tc>
        <w:tc>
          <w:tcPr>
            <w:tcW w:w="2234" w:type="dxa"/>
          </w:tcPr>
          <w:p w:rsidR="00DE68EA" w:rsidRDefault="00DE68EA" w:rsidP="0074696D">
            <w:pPr>
              <w:pStyle w:val="Tableheading"/>
            </w:pPr>
            <w:r>
              <w:t>Product</w:t>
            </w:r>
          </w:p>
        </w:tc>
        <w:tc>
          <w:tcPr>
            <w:tcW w:w="2237" w:type="dxa"/>
          </w:tcPr>
          <w:p w:rsidR="00DE68EA" w:rsidRDefault="00DE68EA" w:rsidP="0074696D">
            <w:pPr>
              <w:pStyle w:val="Tableheading"/>
            </w:pPr>
            <w:r>
              <w:t>Extended response</w:t>
            </w:r>
          </w:p>
        </w:tc>
        <w:tc>
          <w:tcPr>
            <w:tcW w:w="2245" w:type="dxa"/>
          </w:tcPr>
          <w:p w:rsidR="00DE68EA" w:rsidRDefault="00DE68EA" w:rsidP="0074696D">
            <w:pPr>
              <w:pStyle w:val="Tableheading"/>
            </w:pPr>
            <w:r>
              <w:t>Investigation</w:t>
            </w:r>
          </w:p>
        </w:tc>
      </w:tr>
      <w:tr w:rsidR="00DE68EA" w:rsidTr="0029403E">
        <w:tc>
          <w:tcPr>
            <w:tcW w:w="2232" w:type="dxa"/>
          </w:tcPr>
          <w:p w:rsidR="00DE68EA" w:rsidRDefault="00DE68EA" w:rsidP="0074696D">
            <w:pPr>
              <w:pStyle w:val="Tabletext"/>
            </w:pPr>
            <w:r w:rsidRPr="00D20CAB">
              <w:t>A response to a single t</w:t>
            </w:r>
            <w:r>
              <w:t>ask, situation and/or scenario.</w:t>
            </w:r>
          </w:p>
        </w:tc>
        <w:tc>
          <w:tcPr>
            <w:tcW w:w="2234" w:type="dxa"/>
          </w:tcPr>
          <w:p w:rsidR="00DE68EA" w:rsidRDefault="00DE68EA" w:rsidP="0074696D">
            <w:pPr>
              <w:pStyle w:val="Tabletext"/>
            </w:pPr>
            <w:r>
              <w:rPr>
                <w:noProof/>
              </w:rPr>
              <w:t>A technique that assesses the application of skills in the production of media artwork/s.</w:t>
            </w:r>
          </w:p>
        </w:tc>
        <w:tc>
          <w:tcPr>
            <w:tcW w:w="2237" w:type="dxa"/>
          </w:tcPr>
          <w:p w:rsidR="00DE68EA" w:rsidRDefault="00DE68EA" w:rsidP="00F71FBD">
            <w:pPr>
              <w:pStyle w:val="Tabletext"/>
            </w:pPr>
            <w:r w:rsidRPr="00D20CAB">
              <w:t xml:space="preserve">A </w:t>
            </w:r>
            <w:r w:rsidR="00F71FBD">
              <w:t>technique</w:t>
            </w:r>
            <w:r w:rsidR="00F71FBD" w:rsidRPr="00D20CAB">
              <w:t xml:space="preserve"> </w:t>
            </w:r>
            <w:r w:rsidRPr="00D20CAB">
              <w:t>that assesses</w:t>
            </w:r>
            <w:r w:rsidRPr="00FD3CE9">
              <w:t xml:space="preserve"> the interpretation, analysis/examination and/or evaluation of ideas and information in provided stimulus materials</w:t>
            </w:r>
            <w:r w:rsidRPr="00D20CAB">
              <w:t>.</w:t>
            </w:r>
          </w:p>
        </w:tc>
        <w:tc>
          <w:tcPr>
            <w:tcW w:w="2245" w:type="dxa"/>
          </w:tcPr>
          <w:p w:rsidR="00DE68EA" w:rsidRDefault="00DE68EA" w:rsidP="0074696D">
            <w:pPr>
              <w:pStyle w:val="Tabletext"/>
            </w:pPr>
            <w:r w:rsidRPr="00D20CAB">
              <w:t>A response that includes</w:t>
            </w:r>
            <w:r>
              <w:t xml:space="preserve"> </w:t>
            </w:r>
            <w:r w:rsidRPr="0066685A">
              <w:t>locating and using information beyond students’ own knowledge and the data they have been given</w:t>
            </w:r>
            <w:r w:rsidRPr="00D20CAB">
              <w:t>.</w:t>
            </w:r>
          </w:p>
        </w:tc>
      </w:tr>
      <w:tr w:rsidR="00DE68EA" w:rsidTr="0029403E">
        <w:tc>
          <w:tcPr>
            <w:tcW w:w="2232" w:type="dxa"/>
          </w:tcPr>
          <w:p w:rsidR="00DE68EA" w:rsidRDefault="00DE68EA" w:rsidP="0074696D">
            <w:pPr>
              <w:pStyle w:val="Tabletext"/>
            </w:pPr>
            <w:r>
              <w:t>At least two different components from the following:</w:t>
            </w:r>
          </w:p>
          <w:p w:rsidR="00DE68EA" w:rsidRPr="002056D5" w:rsidRDefault="00F71FBD" w:rsidP="0074696D">
            <w:pPr>
              <w:pStyle w:val="TableBullet"/>
            </w:pPr>
            <w:r>
              <w:t>w</w:t>
            </w:r>
            <w:r w:rsidR="00DE68EA" w:rsidRPr="002056D5">
              <w:t>ritten: 500</w:t>
            </w:r>
            <w:r w:rsidR="00DE68EA">
              <w:t>–</w:t>
            </w:r>
            <w:r w:rsidR="00DE68EA" w:rsidRPr="002056D5">
              <w:t>900 words</w:t>
            </w:r>
          </w:p>
          <w:p w:rsidR="00DE68EA" w:rsidRPr="002056D5" w:rsidRDefault="00F71FBD" w:rsidP="0074696D">
            <w:pPr>
              <w:pStyle w:val="TableBullet"/>
            </w:pPr>
            <w:r>
              <w:t>s</w:t>
            </w:r>
            <w:r w:rsidR="00DE68EA" w:rsidRPr="002056D5">
              <w:t>poken: 2½</w:t>
            </w:r>
            <w:r w:rsidR="00DE68EA">
              <w:t>–</w:t>
            </w:r>
            <w:r w:rsidR="00DE68EA" w:rsidRPr="002056D5">
              <w:t>3½ minutes</w:t>
            </w:r>
          </w:p>
          <w:p w:rsidR="00DE68EA" w:rsidRDefault="00F71FBD" w:rsidP="0074696D">
            <w:pPr>
              <w:pStyle w:val="TableBullet"/>
            </w:pPr>
            <w:r>
              <w:t>m</w:t>
            </w:r>
            <w:r w:rsidR="00DE68EA" w:rsidRPr="002056D5">
              <w:t xml:space="preserve">ultimodal </w:t>
            </w:r>
          </w:p>
          <w:p w:rsidR="00DE68EA" w:rsidRPr="004B5ECE" w:rsidRDefault="00DE68EA" w:rsidP="0074696D">
            <w:pPr>
              <w:pStyle w:val="TableBullet2"/>
              <w:rPr>
                <w:lang w:val="fr-FR"/>
              </w:rPr>
            </w:pPr>
            <w:r w:rsidRPr="004B5ECE">
              <w:rPr>
                <w:lang w:val="fr-FR"/>
              </w:rPr>
              <w:t>non-presentation</w:t>
            </w:r>
            <w:r w:rsidR="00F71FBD" w:rsidRPr="004B5ECE">
              <w:rPr>
                <w:lang w:val="fr-FR"/>
              </w:rPr>
              <w:t>:</w:t>
            </w:r>
            <w:r w:rsidRPr="004B5ECE">
              <w:rPr>
                <w:lang w:val="fr-FR"/>
              </w:rPr>
              <w:t xml:space="preserve"> 8 A4 pages max (or equivalent)</w:t>
            </w:r>
          </w:p>
          <w:p w:rsidR="00DE68EA" w:rsidRPr="002056D5" w:rsidRDefault="00DE68EA" w:rsidP="0074696D">
            <w:pPr>
              <w:pStyle w:val="TableBullet2"/>
            </w:pPr>
            <w:r>
              <w:t>presentation</w:t>
            </w:r>
            <w:r w:rsidR="00F71FBD">
              <w:t>:</w:t>
            </w:r>
            <w:r>
              <w:t xml:space="preserve"> </w:t>
            </w:r>
            <w:r w:rsidRPr="002056D5">
              <w:t>3</w:t>
            </w:r>
            <w:r>
              <w:t>–</w:t>
            </w:r>
            <w:r w:rsidRPr="002056D5">
              <w:t>6 minutes</w:t>
            </w:r>
          </w:p>
          <w:p w:rsidR="00DE68EA" w:rsidRPr="002441B9" w:rsidRDefault="00F71FBD" w:rsidP="0074696D">
            <w:pPr>
              <w:pStyle w:val="TableBullet"/>
            </w:pPr>
            <w:r>
              <w:t>p</w:t>
            </w:r>
            <w:r w:rsidR="00DE68EA" w:rsidRPr="002056D5">
              <w:t>roduct: variable conditions</w:t>
            </w:r>
            <w:r w:rsidR="00DE68EA">
              <w:t>.</w:t>
            </w:r>
          </w:p>
        </w:tc>
        <w:tc>
          <w:tcPr>
            <w:tcW w:w="2234" w:type="dxa"/>
          </w:tcPr>
          <w:p w:rsidR="00DE68EA" w:rsidRPr="002E14D3" w:rsidRDefault="00DE68EA" w:rsidP="0074696D">
            <w:pPr>
              <w:pStyle w:val="TableBullet"/>
              <w:rPr>
                <w:noProof/>
              </w:rPr>
            </w:pPr>
            <w:r>
              <w:rPr>
                <w:noProof/>
              </w:rPr>
              <w:t>variable conditions</w:t>
            </w:r>
          </w:p>
        </w:tc>
        <w:tc>
          <w:tcPr>
            <w:tcW w:w="2237" w:type="dxa"/>
          </w:tcPr>
          <w:p w:rsidR="00DD53EE" w:rsidRDefault="00812362" w:rsidP="008C3C06">
            <w:pPr>
              <w:pStyle w:val="TableBullet"/>
              <w:numPr>
                <w:ilvl w:val="0"/>
                <w:numId w:val="0"/>
              </w:numPr>
            </w:pPr>
            <w:r w:rsidRPr="00812362">
              <w:t>Presented in one of the following modes:</w:t>
            </w:r>
          </w:p>
          <w:p w:rsidR="00DE68EA" w:rsidRPr="00D20CAB" w:rsidRDefault="009D0562" w:rsidP="0074696D">
            <w:pPr>
              <w:pStyle w:val="TableBullet"/>
            </w:pPr>
            <w:r>
              <w:t>w</w:t>
            </w:r>
            <w:r w:rsidR="00DE68EA" w:rsidRPr="00D20CAB">
              <w:t>ritten: 600</w:t>
            </w:r>
            <w:r w:rsidR="00DE68EA">
              <w:t>–</w:t>
            </w:r>
            <w:r w:rsidR="00DE68EA" w:rsidRPr="00D20CAB">
              <w:t>1000 words</w:t>
            </w:r>
          </w:p>
          <w:p w:rsidR="00DE68EA" w:rsidRPr="002056D5" w:rsidRDefault="009D0562" w:rsidP="0074696D">
            <w:pPr>
              <w:pStyle w:val="TableBullet"/>
            </w:pPr>
            <w:r>
              <w:t>s</w:t>
            </w:r>
            <w:r w:rsidR="00DE68EA" w:rsidRPr="00D20CAB">
              <w:t xml:space="preserve">poken: </w:t>
            </w:r>
            <w:r w:rsidR="00DE68EA" w:rsidRPr="002056D5">
              <w:t>3</w:t>
            </w:r>
            <w:r w:rsidR="00DE68EA">
              <w:t>–</w:t>
            </w:r>
            <w:r w:rsidR="00DE68EA" w:rsidRPr="002056D5">
              <w:t>4 minutes</w:t>
            </w:r>
          </w:p>
          <w:p w:rsidR="00DE68EA" w:rsidRDefault="009D0562" w:rsidP="0074696D">
            <w:pPr>
              <w:pStyle w:val="TableBullet"/>
              <w:rPr>
                <w:noProof/>
              </w:rPr>
            </w:pPr>
            <w:r>
              <w:t>m</w:t>
            </w:r>
            <w:r w:rsidR="00DE68EA">
              <w:t xml:space="preserve">ultimodal </w:t>
            </w:r>
          </w:p>
          <w:p w:rsidR="00DE68EA" w:rsidRPr="004B5ECE" w:rsidRDefault="00DE68EA" w:rsidP="0074696D">
            <w:pPr>
              <w:pStyle w:val="TableBullet2"/>
              <w:rPr>
                <w:noProof/>
                <w:lang w:val="fr-FR"/>
              </w:rPr>
            </w:pPr>
            <w:r w:rsidRPr="004B5ECE">
              <w:rPr>
                <w:lang w:val="fr-FR"/>
              </w:rPr>
              <w:t>non-presentation</w:t>
            </w:r>
            <w:r w:rsidR="009D0562" w:rsidRPr="004B5ECE">
              <w:rPr>
                <w:lang w:val="fr-FR"/>
              </w:rPr>
              <w:t>:</w:t>
            </w:r>
            <w:r w:rsidRPr="004B5ECE">
              <w:rPr>
                <w:lang w:val="fr-FR"/>
              </w:rPr>
              <w:t xml:space="preserve"> 10 A4 pages max (or equivalent) </w:t>
            </w:r>
          </w:p>
          <w:p w:rsidR="00DE68EA" w:rsidRDefault="00DE68EA" w:rsidP="0074696D">
            <w:pPr>
              <w:pStyle w:val="TableBullet2"/>
            </w:pPr>
            <w:r>
              <w:t>presentation</w:t>
            </w:r>
            <w:r w:rsidR="009D0562">
              <w:t>:</w:t>
            </w:r>
            <w:r>
              <w:t xml:space="preserve"> </w:t>
            </w:r>
            <w:r w:rsidRPr="002056D5">
              <w:t>4</w:t>
            </w:r>
            <w:r>
              <w:t>–</w:t>
            </w:r>
            <w:r w:rsidRPr="002056D5">
              <w:t>7 minutes</w:t>
            </w:r>
            <w:r w:rsidR="00812362">
              <w:t>.</w:t>
            </w:r>
          </w:p>
        </w:tc>
        <w:tc>
          <w:tcPr>
            <w:tcW w:w="2245" w:type="dxa"/>
          </w:tcPr>
          <w:p w:rsidR="00DD53EE" w:rsidRDefault="00812362" w:rsidP="008C3C06">
            <w:pPr>
              <w:pStyle w:val="TableText0"/>
            </w:pPr>
            <w:r w:rsidRPr="00812362">
              <w:t>Presented in one of the following modes:</w:t>
            </w:r>
          </w:p>
          <w:p w:rsidR="00DE68EA" w:rsidRPr="00D20CAB" w:rsidRDefault="00580BA3">
            <w:pPr>
              <w:pStyle w:val="TableBullet"/>
            </w:pPr>
            <w:r>
              <w:t>w</w:t>
            </w:r>
            <w:r w:rsidR="00DE68EA" w:rsidRPr="00D20CAB">
              <w:t>ritten: 600</w:t>
            </w:r>
            <w:r w:rsidR="00DE68EA">
              <w:t>–</w:t>
            </w:r>
            <w:r w:rsidR="00DE68EA" w:rsidRPr="00D20CAB">
              <w:t>1000 words</w:t>
            </w:r>
          </w:p>
          <w:p w:rsidR="00DE68EA" w:rsidRPr="00D20CAB" w:rsidRDefault="00580BA3" w:rsidP="0074696D">
            <w:pPr>
              <w:pStyle w:val="TableBullet"/>
            </w:pPr>
            <w:r>
              <w:t>s</w:t>
            </w:r>
            <w:r w:rsidR="00DE68EA" w:rsidRPr="00D20CAB">
              <w:t>poken: 3</w:t>
            </w:r>
            <w:r w:rsidR="00DE68EA">
              <w:t>–</w:t>
            </w:r>
            <w:r w:rsidR="00DE68EA" w:rsidRPr="00D20CAB">
              <w:t>4 minutes</w:t>
            </w:r>
          </w:p>
          <w:p w:rsidR="00DE68EA" w:rsidRDefault="00580BA3" w:rsidP="0074696D">
            <w:pPr>
              <w:pStyle w:val="TableBullet"/>
              <w:rPr>
                <w:noProof/>
              </w:rPr>
            </w:pPr>
            <w:r>
              <w:t>m</w:t>
            </w:r>
            <w:r w:rsidR="00DE68EA">
              <w:t xml:space="preserve">ultimodal </w:t>
            </w:r>
          </w:p>
          <w:p w:rsidR="00DE68EA" w:rsidRPr="004B5ECE" w:rsidRDefault="00DE68EA" w:rsidP="0074696D">
            <w:pPr>
              <w:pStyle w:val="TableBullet2"/>
              <w:rPr>
                <w:noProof/>
                <w:lang w:val="fr-FR"/>
              </w:rPr>
            </w:pPr>
            <w:r w:rsidRPr="004B5ECE">
              <w:rPr>
                <w:lang w:val="fr-FR"/>
              </w:rPr>
              <w:t>non-presentation</w:t>
            </w:r>
            <w:r w:rsidR="00580BA3" w:rsidRPr="004B5ECE">
              <w:rPr>
                <w:lang w:val="fr-FR"/>
              </w:rPr>
              <w:t>:</w:t>
            </w:r>
            <w:r w:rsidRPr="004B5ECE">
              <w:rPr>
                <w:lang w:val="fr-FR"/>
              </w:rPr>
              <w:t xml:space="preserve"> 10 A4 pages max (or equivalent) </w:t>
            </w:r>
          </w:p>
          <w:p w:rsidR="00DE68EA" w:rsidRDefault="00DE68EA" w:rsidP="0074696D">
            <w:pPr>
              <w:pStyle w:val="TableBullet2"/>
            </w:pPr>
            <w:r>
              <w:t>presentation</w:t>
            </w:r>
            <w:r w:rsidR="00580BA3">
              <w:t>:</w:t>
            </w:r>
            <w:r>
              <w:t xml:space="preserve"> </w:t>
            </w:r>
            <w:r w:rsidRPr="002056D5">
              <w:t>4</w:t>
            </w:r>
            <w:r>
              <w:t>–</w:t>
            </w:r>
            <w:r w:rsidRPr="002056D5">
              <w:t>7 minutes</w:t>
            </w:r>
            <w:r w:rsidR="00812362">
              <w:t>.</w:t>
            </w:r>
          </w:p>
        </w:tc>
      </w:tr>
    </w:tbl>
    <w:p w:rsidR="00DE68EA" w:rsidRDefault="00DE68EA" w:rsidP="00DE68EA">
      <w:r>
        <w:br w:type="page"/>
      </w:r>
    </w:p>
    <w:p w:rsidR="00931F7C" w:rsidRDefault="00931F7C" w:rsidP="00931F7C"/>
    <w:tbl>
      <w:tblPr>
        <w:tblStyle w:val="TextLayout"/>
        <w:tblW w:w="5650" w:type="pct"/>
        <w:tblInd w:w="-170" w:type="dxa"/>
        <w:tblLayout w:type="fixed"/>
        <w:tblLook w:val="04A0" w:firstRow="1" w:lastRow="0" w:firstColumn="1" w:lastColumn="0" w:noHBand="0" w:noVBand="1"/>
      </w:tblPr>
      <w:tblGrid>
        <w:gridCol w:w="141"/>
        <w:gridCol w:w="9264"/>
        <w:gridCol w:w="845"/>
      </w:tblGrid>
      <w:tr w:rsidR="002037BC" w:rsidRPr="003B6F39" w:rsidTr="002037BC">
        <w:trPr>
          <w:trHeight w:hRule="exact" w:val="851"/>
        </w:trPr>
        <w:tc>
          <w:tcPr>
            <w:tcW w:w="142" w:type="dxa"/>
            <w:shd w:val="clear" w:color="auto" w:fill="6858A9"/>
          </w:tcPr>
          <w:p w:rsidR="002037BC" w:rsidRDefault="002037BC" w:rsidP="002037BC">
            <w:pPr>
              <w:pStyle w:val="Tabletext"/>
            </w:pPr>
          </w:p>
        </w:tc>
        <w:tc>
          <w:tcPr>
            <w:tcW w:w="9323" w:type="dxa"/>
            <w:tcMar>
              <w:left w:w="57" w:type="dxa"/>
            </w:tcMar>
            <w:vAlign w:val="center"/>
          </w:tcPr>
          <w:p w:rsidR="002037BC" w:rsidRDefault="002037BC" w:rsidP="009F47CD">
            <w:pPr>
              <w:pStyle w:val="SubjectHeading"/>
            </w:pPr>
            <w:r>
              <w:t>Visual Arts in Practice</w:t>
            </w:r>
          </w:p>
          <w:p w:rsidR="002037BC" w:rsidRPr="00E86C01" w:rsidRDefault="002037BC" w:rsidP="002037BC">
            <w:pPr>
              <w:pStyle w:val="Heading3"/>
              <w:spacing w:before="0" w:after="0"/>
            </w:pPr>
            <w:bookmarkStart w:id="327" w:name="_Toc16163682"/>
            <w:r>
              <w:t>Applied senior subject</w:t>
            </w:r>
            <w:bookmarkEnd w:id="327"/>
          </w:p>
        </w:tc>
        <w:tc>
          <w:tcPr>
            <w:tcW w:w="850" w:type="dxa"/>
            <w:shd w:val="clear" w:color="auto" w:fill="6858A9"/>
            <w:tcMar>
              <w:bottom w:w="28" w:type="dxa"/>
              <w:right w:w="57" w:type="dxa"/>
            </w:tcMar>
            <w:vAlign w:val="bottom"/>
          </w:tcPr>
          <w:p w:rsidR="002037BC" w:rsidRPr="007642FE" w:rsidRDefault="002037BC" w:rsidP="002037BC">
            <w:pPr>
              <w:pStyle w:val="Heading3"/>
              <w:spacing w:before="0" w:after="100" w:afterAutospacing="1"/>
              <w:jc w:val="right"/>
              <w:rPr>
                <w:color w:val="FFFFFF" w:themeColor="background1"/>
                <w:sz w:val="17"/>
                <w:szCs w:val="17"/>
              </w:rPr>
            </w:pPr>
            <w:bookmarkStart w:id="328" w:name="_Toc16163683"/>
            <w:r>
              <w:rPr>
                <w:color w:val="FFFFFF" w:themeColor="background1"/>
                <w:sz w:val="17"/>
                <w:szCs w:val="17"/>
              </w:rPr>
              <w:t>Applied</w:t>
            </w:r>
            <w:bookmarkEnd w:id="328"/>
          </w:p>
        </w:tc>
      </w:tr>
      <w:tr w:rsidR="002037BC" w:rsidRPr="003B6F39" w:rsidTr="002037BC">
        <w:trPr>
          <w:trHeight w:hRule="exact" w:val="113"/>
        </w:trPr>
        <w:tc>
          <w:tcPr>
            <w:tcW w:w="10315" w:type="dxa"/>
            <w:gridSpan w:val="3"/>
            <w:shd w:val="clear" w:color="auto" w:fill="auto"/>
          </w:tcPr>
          <w:p w:rsidR="002037BC" w:rsidRPr="00E86C01" w:rsidRDefault="002037BC" w:rsidP="002037BC">
            <w:pPr>
              <w:pStyle w:val="Smallspace"/>
            </w:pPr>
          </w:p>
        </w:tc>
      </w:tr>
    </w:tbl>
    <w:p w:rsidR="0074696D" w:rsidRDefault="0074696D" w:rsidP="00931F7C">
      <w:pPr>
        <w:pStyle w:val="BodyText"/>
        <w:spacing w:before="120"/>
        <w:rPr>
          <w:noProof/>
        </w:rPr>
        <w:sectPr w:rsidR="0074696D" w:rsidSect="00DF3BE9">
          <w:headerReference w:type="default" r:id="rId44"/>
          <w:type w:val="continuous"/>
          <w:pgSz w:w="11907" w:h="16840" w:code="9"/>
          <w:pgMar w:top="1134" w:right="1418" w:bottom="1701" w:left="1418" w:header="567" w:footer="284" w:gutter="0"/>
          <w:cols w:space="720"/>
          <w:formProt w:val="0"/>
          <w:noEndnote/>
          <w:docGrid w:linePitch="299"/>
        </w:sectPr>
      </w:pPr>
    </w:p>
    <w:p w:rsidR="0074696D" w:rsidRPr="002E14D3" w:rsidRDefault="0074696D" w:rsidP="004D730A">
      <w:pPr>
        <w:pStyle w:val="BodyText"/>
        <w:spacing w:before="120"/>
      </w:pPr>
      <w:r w:rsidRPr="002E14D3">
        <w:t>Visual Arts in Practice focuses on students engaging in art-making processes and making virtual or physical visual artworks.</w:t>
      </w:r>
      <w:r w:rsidR="002E15FD">
        <w:t xml:space="preserve"> Visual artworks are created for a purpose and in response to individual, group or community needs.</w:t>
      </w:r>
    </w:p>
    <w:p w:rsidR="0074696D" w:rsidRPr="002E14D3" w:rsidRDefault="0074696D" w:rsidP="0074696D">
      <w:pPr>
        <w:pStyle w:val="BodyText"/>
      </w:pPr>
      <w:r>
        <w:t>S</w:t>
      </w:r>
      <w:r w:rsidRPr="002E14D3">
        <w:t>tudents explore and apply the materials, technologies an</w:t>
      </w:r>
      <w:r>
        <w:t xml:space="preserve">d techniques used in art-making. </w:t>
      </w:r>
      <w:r w:rsidRPr="002E14D3">
        <w:t>They use information about design elements and principles to influence their own aesthetic and guide how they view others’ works. They also investigate information about artists, art movements and theories, and use the lens of a context to examine influences on art-making.</w:t>
      </w:r>
    </w:p>
    <w:p w:rsidR="0074696D" w:rsidRPr="002E14D3" w:rsidRDefault="0074696D" w:rsidP="0074696D">
      <w:pPr>
        <w:pStyle w:val="BodyText"/>
      </w:pPr>
      <w:r>
        <w:t>S</w:t>
      </w:r>
      <w:r w:rsidRPr="002E14D3">
        <w:t>tudents reflect on both their own and others’ art-making processes. They integrate skills to create artworks and evaluate aesthetic choices. Students decide on the best way to convey meaning through communications and artworks.</w:t>
      </w:r>
      <w:r w:rsidR="002E15FD">
        <w:t xml:space="preserve"> They learn and apply safe visual art practices.</w:t>
      </w:r>
    </w:p>
    <w:p w:rsidR="0074696D" w:rsidRDefault="0074696D" w:rsidP="0074696D">
      <w:pPr>
        <w:pStyle w:val="Heading3"/>
      </w:pPr>
      <w:bookmarkStart w:id="329" w:name="_Toc16163684"/>
      <w:r>
        <w:t>Pathways</w:t>
      </w:r>
      <w:bookmarkEnd w:id="329"/>
    </w:p>
    <w:p w:rsidR="0074696D" w:rsidRPr="002E14D3" w:rsidRDefault="0074696D" w:rsidP="0074696D">
      <w:pPr>
        <w:pStyle w:val="BodyText"/>
      </w:pPr>
      <w:r w:rsidRPr="002E14D3">
        <w:t xml:space="preserve">A course of study in Visual Arts in Practice can establish a basis for further education and employment in </w:t>
      </w:r>
      <w:r w:rsidR="0053280C">
        <w:t xml:space="preserve">a range of </w:t>
      </w:r>
      <w:r w:rsidR="0053280C" w:rsidRPr="0053280C">
        <w:t>fields</w:t>
      </w:r>
      <w:r w:rsidR="0053280C">
        <w:t>,</w:t>
      </w:r>
      <w:r w:rsidR="0053280C" w:rsidRPr="0053280C">
        <w:t xml:space="preserve"> </w:t>
      </w:r>
      <w:r w:rsidR="0053280C">
        <w:t xml:space="preserve">including </w:t>
      </w:r>
      <w:r w:rsidR="0053280C" w:rsidRPr="0053280C">
        <w:t>design, styling, decorating, illustrating, drafting, visual merchandising, make-up artistry, advertising, game design, photography, animation or ceramics</w:t>
      </w:r>
      <w:r w:rsidRPr="002E14D3">
        <w:t>.</w:t>
      </w:r>
    </w:p>
    <w:p w:rsidR="0074696D" w:rsidRDefault="0074696D" w:rsidP="004D730A">
      <w:pPr>
        <w:pStyle w:val="Heading3"/>
        <w:spacing w:before="120"/>
      </w:pPr>
      <w:bookmarkStart w:id="330" w:name="_Toc16163685"/>
      <w:r>
        <w:t>Objectives</w:t>
      </w:r>
      <w:bookmarkEnd w:id="330"/>
    </w:p>
    <w:p w:rsidR="0074696D" w:rsidRPr="002E14D3" w:rsidRDefault="0074696D" w:rsidP="0074696D">
      <w:pPr>
        <w:pStyle w:val="BodyText"/>
      </w:pPr>
      <w:r w:rsidRPr="002E14D3">
        <w:t>By the conclusion of the course of study, students should:</w:t>
      </w:r>
    </w:p>
    <w:p w:rsidR="0074696D" w:rsidRPr="002E14D3" w:rsidRDefault="0074696D" w:rsidP="0074696D">
      <w:pPr>
        <w:pStyle w:val="ListBullet0"/>
      </w:pPr>
      <w:r w:rsidRPr="002E14D3">
        <w:t>recall terminology and explain art-making processes</w:t>
      </w:r>
    </w:p>
    <w:p w:rsidR="0074696D" w:rsidRPr="002E14D3" w:rsidRDefault="0074696D" w:rsidP="0074696D">
      <w:pPr>
        <w:pStyle w:val="ListBullet0"/>
      </w:pPr>
      <w:r w:rsidRPr="002E14D3">
        <w:t>interpret information about concepts and ideas for a purpose</w:t>
      </w:r>
    </w:p>
    <w:p w:rsidR="0074696D" w:rsidRDefault="0074696D" w:rsidP="0074696D">
      <w:pPr>
        <w:pStyle w:val="ListBullet0"/>
      </w:pPr>
      <w:r w:rsidRPr="002E14D3">
        <w:t>demonstrate art-making processes required for visual artworks</w:t>
      </w:r>
    </w:p>
    <w:p w:rsidR="0074696D" w:rsidRPr="00E5658B" w:rsidRDefault="0074696D" w:rsidP="0074696D">
      <w:pPr>
        <w:pStyle w:val="ListBullet0"/>
      </w:pPr>
      <w:r w:rsidRPr="00E5658B">
        <w:t>apply art-making processes, concepts and ideas</w:t>
      </w:r>
    </w:p>
    <w:p w:rsidR="0074696D" w:rsidRPr="00E5658B" w:rsidRDefault="0074696D" w:rsidP="0074696D">
      <w:pPr>
        <w:pStyle w:val="ListBullet0"/>
      </w:pPr>
      <w:r w:rsidRPr="00E5658B">
        <w:t>analyse visual art-making processes for particular purposes</w:t>
      </w:r>
    </w:p>
    <w:p w:rsidR="0074696D" w:rsidRPr="00E5658B" w:rsidRDefault="0074696D" w:rsidP="0074696D">
      <w:pPr>
        <w:pStyle w:val="ListBullet0"/>
      </w:pPr>
      <w:r w:rsidRPr="00E5658B">
        <w:t>use language conventions and features to achieve particular purposes</w:t>
      </w:r>
    </w:p>
    <w:p w:rsidR="0074696D" w:rsidRPr="00E5658B" w:rsidRDefault="0074696D" w:rsidP="0074696D">
      <w:pPr>
        <w:pStyle w:val="ListBullet0"/>
      </w:pPr>
      <w:r w:rsidRPr="00E5658B">
        <w:t>generate plans and ideas and make decisions</w:t>
      </w:r>
    </w:p>
    <w:p w:rsidR="0074696D" w:rsidRPr="00E5658B" w:rsidRDefault="0074696D" w:rsidP="0074696D">
      <w:pPr>
        <w:pStyle w:val="ListBullet0"/>
      </w:pPr>
      <w:r w:rsidRPr="00E5658B">
        <w:t>create communications that convey meaning to audiences</w:t>
      </w:r>
    </w:p>
    <w:p w:rsidR="0074696D" w:rsidRDefault="0074696D" w:rsidP="0074696D">
      <w:pPr>
        <w:pStyle w:val="ListBullet0"/>
        <w:sectPr w:rsidR="0074696D" w:rsidSect="00500900">
          <w:type w:val="continuous"/>
          <w:pgSz w:w="11907" w:h="16840" w:code="9"/>
          <w:pgMar w:top="1134" w:right="1418" w:bottom="1701" w:left="1418" w:header="567" w:footer="284" w:gutter="0"/>
          <w:cols w:num="2" w:space="720"/>
          <w:formProt w:val="0"/>
          <w:noEndnote/>
          <w:docGrid w:linePitch="299"/>
        </w:sectPr>
      </w:pPr>
      <w:r w:rsidRPr="00E5658B">
        <w:t>evaluate art-making processes, concepts and ideas.</w:t>
      </w:r>
    </w:p>
    <w:p w:rsidR="00835C9A" w:rsidRPr="00835C9A" w:rsidRDefault="00835C9A" w:rsidP="00835C9A"/>
    <w:p w:rsidR="00931F7C" w:rsidRDefault="00931F7C" w:rsidP="00931F7C">
      <w:pPr>
        <w:pStyle w:val="Heading3"/>
      </w:pPr>
      <w:bookmarkStart w:id="331" w:name="_Toc16163686"/>
      <w:r>
        <w:t>Structure</w:t>
      </w:r>
      <w:bookmarkEnd w:id="331"/>
    </w:p>
    <w:p w:rsidR="0074696D" w:rsidRPr="0074696D" w:rsidRDefault="00A04C0D" w:rsidP="0074696D">
      <w:pPr>
        <w:pStyle w:val="BodyText"/>
      </w:pPr>
      <w:r>
        <w:t xml:space="preserve">The </w:t>
      </w:r>
      <w:r w:rsidR="0074696D">
        <w:t xml:space="preserve">Visual Arts in Practice </w:t>
      </w:r>
      <w:r>
        <w:t xml:space="preserve">course </w:t>
      </w:r>
      <w:r w:rsidR="0074696D">
        <w:t>is designed around core and elective topics.</w:t>
      </w:r>
    </w:p>
    <w:tbl>
      <w:tblPr>
        <w:tblStyle w:val="QCAAtablestyle1"/>
        <w:tblW w:w="4900" w:type="pct"/>
        <w:tblLook w:val="04A0" w:firstRow="1" w:lastRow="0" w:firstColumn="1" w:lastColumn="0" w:noHBand="0" w:noVBand="1"/>
      </w:tblPr>
      <w:tblGrid>
        <w:gridCol w:w="4248"/>
        <w:gridCol w:w="4639"/>
      </w:tblGrid>
      <w:tr w:rsidR="0074696D" w:rsidTr="0029403E">
        <w:trPr>
          <w:cnfStyle w:val="100000000000" w:firstRow="1" w:lastRow="0" w:firstColumn="0" w:lastColumn="0" w:oddVBand="0" w:evenVBand="0" w:oddHBand="0" w:evenHBand="0" w:firstRowFirstColumn="0" w:firstRowLastColumn="0" w:lastRowFirstColumn="0" w:lastRowLastColumn="0"/>
        </w:trPr>
        <w:tc>
          <w:tcPr>
            <w:tcW w:w="4277" w:type="dxa"/>
          </w:tcPr>
          <w:p w:rsidR="0074696D" w:rsidRDefault="0074696D" w:rsidP="0074696D">
            <w:pPr>
              <w:pStyle w:val="Tableheading"/>
            </w:pPr>
            <w:r w:rsidRPr="009D7CD4">
              <w:t>Core</w:t>
            </w:r>
          </w:p>
        </w:tc>
        <w:tc>
          <w:tcPr>
            <w:tcW w:w="4677" w:type="dxa"/>
          </w:tcPr>
          <w:p w:rsidR="0074696D" w:rsidRDefault="0074696D" w:rsidP="0074696D">
            <w:pPr>
              <w:pStyle w:val="Tableheading"/>
              <w:jc w:val="center"/>
            </w:pPr>
            <w:r w:rsidRPr="009D7CD4">
              <w:t>Electives</w:t>
            </w:r>
          </w:p>
        </w:tc>
      </w:tr>
      <w:tr w:rsidR="0074696D" w:rsidTr="0029403E">
        <w:tc>
          <w:tcPr>
            <w:tcW w:w="4277" w:type="dxa"/>
          </w:tcPr>
          <w:p w:rsidR="0074696D" w:rsidRDefault="0074696D" w:rsidP="0074696D">
            <w:pPr>
              <w:pStyle w:val="TableBullet"/>
            </w:pPr>
            <w:r>
              <w:t>Visual mediums, technologies</w:t>
            </w:r>
            <w:r w:rsidR="00E726C6">
              <w:t xml:space="preserve">, </w:t>
            </w:r>
            <w:r>
              <w:t>techniques</w:t>
            </w:r>
          </w:p>
          <w:p w:rsidR="0074696D" w:rsidRDefault="0074696D" w:rsidP="0074696D">
            <w:pPr>
              <w:pStyle w:val="TableBullet"/>
            </w:pPr>
            <w:r>
              <w:t>Visual literacies and contexts</w:t>
            </w:r>
          </w:p>
          <w:p w:rsidR="0074696D" w:rsidRDefault="0074696D" w:rsidP="0074696D">
            <w:pPr>
              <w:pStyle w:val="TableBullet"/>
            </w:pPr>
            <w:r>
              <w:t>Artwork realisation</w:t>
            </w:r>
          </w:p>
        </w:tc>
        <w:tc>
          <w:tcPr>
            <w:tcW w:w="4677" w:type="dxa"/>
          </w:tcPr>
          <w:p w:rsidR="0074696D" w:rsidRDefault="0074696D" w:rsidP="0074696D">
            <w:pPr>
              <w:pStyle w:val="TableBullet"/>
            </w:pPr>
            <w:r>
              <w:t>2D</w:t>
            </w:r>
          </w:p>
          <w:p w:rsidR="0074696D" w:rsidRDefault="0074696D" w:rsidP="0074696D">
            <w:pPr>
              <w:pStyle w:val="TableBullet"/>
            </w:pPr>
            <w:r>
              <w:t>3D</w:t>
            </w:r>
          </w:p>
          <w:p w:rsidR="0074696D" w:rsidRDefault="0074696D" w:rsidP="0074696D">
            <w:pPr>
              <w:pStyle w:val="TableBullet"/>
            </w:pPr>
            <w:r>
              <w:t>Digital and 4D</w:t>
            </w:r>
          </w:p>
          <w:p w:rsidR="0074696D" w:rsidRDefault="0074696D" w:rsidP="0074696D">
            <w:pPr>
              <w:pStyle w:val="TableBullet"/>
            </w:pPr>
            <w:r>
              <w:t>Design</w:t>
            </w:r>
          </w:p>
          <w:p w:rsidR="0074696D" w:rsidRDefault="0074696D" w:rsidP="0074696D">
            <w:pPr>
              <w:pStyle w:val="TableBullet"/>
            </w:pPr>
            <w:r>
              <w:t>Craft</w:t>
            </w:r>
          </w:p>
        </w:tc>
      </w:tr>
    </w:tbl>
    <w:p w:rsidR="008E4B73" w:rsidRDefault="008E4B73">
      <w:pPr>
        <w:rPr>
          <w:b/>
          <w:color w:val="6D6F71"/>
          <w:sz w:val="28"/>
          <w:szCs w:val="28"/>
        </w:rPr>
      </w:pPr>
    </w:p>
    <w:p w:rsidR="008E4B73" w:rsidRDefault="008E4B73">
      <w:pPr>
        <w:rPr>
          <w:b/>
          <w:color w:val="6D6F71"/>
          <w:sz w:val="28"/>
          <w:szCs w:val="28"/>
        </w:rPr>
      </w:pPr>
      <w:r>
        <w:rPr>
          <w:b/>
          <w:color w:val="6D6F71"/>
          <w:sz w:val="28"/>
          <w:szCs w:val="28"/>
        </w:rPr>
        <w:br w:type="page"/>
      </w:r>
    </w:p>
    <w:p w:rsidR="00931F7C" w:rsidRDefault="00931F7C" w:rsidP="00931F7C">
      <w:pPr>
        <w:pStyle w:val="Heading3"/>
      </w:pPr>
      <w:bookmarkStart w:id="332" w:name="_Toc16163687"/>
      <w:r>
        <w:t>Assessment</w:t>
      </w:r>
      <w:bookmarkEnd w:id="332"/>
    </w:p>
    <w:p w:rsidR="0074696D" w:rsidRDefault="0053280C" w:rsidP="0074696D">
      <w:pPr>
        <w:pStyle w:val="BodyText"/>
        <w:spacing w:before="120"/>
        <w:rPr>
          <w:noProof/>
        </w:rPr>
      </w:pPr>
      <w:r>
        <w:rPr>
          <w:noProof/>
        </w:rPr>
        <w:t>For Visual Arts in Practice, a</w:t>
      </w:r>
      <w:r w:rsidR="0074696D">
        <w:rPr>
          <w:noProof/>
        </w:rPr>
        <w:t>ssessment from Units 3 and 4 is used to determine the student’s exit result</w:t>
      </w:r>
      <w:r>
        <w:rPr>
          <w:noProof/>
        </w:rPr>
        <w:t>, and</w:t>
      </w:r>
      <w:r w:rsidR="000A2FA0">
        <w:rPr>
          <w:noProof/>
        </w:rPr>
        <w:t xml:space="preserve"> </w:t>
      </w:r>
      <w:r w:rsidR="0074696D">
        <w:rPr>
          <w:noProof/>
        </w:rPr>
        <w:t>consists of four instruments</w:t>
      </w:r>
      <w:r w:rsidR="000A2FA0">
        <w:rPr>
          <w:noProof/>
        </w:rPr>
        <w:t>,</w:t>
      </w:r>
      <w:r w:rsidR="0074696D">
        <w:rPr>
          <w:noProof/>
        </w:rPr>
        <w:t xml:space="preserve"> including:</w:t>
      </w:r>
    </w:p>
    <w:p w:rsidR="0074696D" w:rsidRPr="0074696D" w:rsidRDefault="0074696D" w:rsidP="0074696D">
      <w:pPr>
        <w:pStyle w:val="ListBullet0"/>
      </w:pPr>
      <w:r w:rsidRPr="0074696D">
        <w:t>at least two projects, with at least one project arising from community connections</w:t>
      </w:r>
    </w:p>
    <w:p w:rsidR="0074696D" w:rsidRPr="0074696D" w:rsidRDefault="0074696D" w:rsidP="0074696D">
      <w:pPr>
        <w:pStyle w:val="ListBullet0"/>
      </w:pPr>
      <w:r w:rsidRPr="0074696D">
        <w:t>at least one product (composition), separate to an asse</w:t>
      </w:r>
      <w:r w:rsidR="00995D86">
        <w:t>s</w:t>
      </w:r>
      <w:r w:rsidRPr="0074696D">
        <w:t>sable component of a project.</w:t>
      </w:r>
    </w:p>
    <w:tbl>
      <w:tblPr>
        <w:tblStyle w:val="QCAAtablestyle1"/>
        <w:tblW w:w="4900" w:type="pct"/>
        <w:tblLook w:val="04A0" w:firstRow="1" w:lastRow="0" w:firstColumn="1" w:lastColumn="0" w:noHBand="0" w:noVBand="1"/>
      </w:tblPr>
      <w:tblGrid>
        <w:gridCol w:w="2226"/>
        <w:gridCol w:w="2209"/>
        <w:gridCol w:w="2230"/>
        <w:gridCol w:w="2222"/>
      </w:tblGrid>
      <w:tr w:rsidR="0074696D" w:rsidTr="0029403E">
        <w:trPr>
          <w:cnfStyle w:val="100000000000" w:firstRow="1" w:lastRow="0" w:firstColumn="0" w:lastColumn="0" w:oddVBand="0" w:evenVBand="0" w:oddHBand="0" w:evenHBand="0" w:firstRowFirstColumn="0" w:firstRowLastColumn="0" w:lastRowFirstColumn="0" w:lastRowLastColumn="0"/>
        </w:trPr>
        <w:tc>
          <w:tcPr>
            <w:tcW w:w="2238" w:type="dxa"/>
          </w:tcPr>
          <w:p w:rsidR="0074696D" w:rsidRDefault="0074696D" w:rsidP="0074696D">
            <w:pPr>
              <w:pStyle w:val="Tableheading"/>
              <w:rPr>
                <w:noProof/>
              </w:rPr>
            </w:pPr>
            <w:r>
              <w:rPr>
                <w:noProof/>
              </w:rPr>
              <w:t>Project</w:t>
            </w:r>
          </w:p>
        </w:tc>
        <w:tc>
          <w:tcPr>
            <w:tcW w:w="2239" w:type="dxa"/>
          </w:tcPr>
          <w:p w:rsidR="0074696D" w:rsidRDefault="0074696D" w:rsidP="0074696D">
            <w:pPr>
              <w:pStyle w:val="Tableheading"/>
              <w:rPr>
                <w:noProof/>
              </w:rPr>
            </w:pPr>
            <w:r>
              <w:rPr>
                <w:noProof/>
              </w:rPr>
              <w:t xml:space="preserve">Product </w:t>
            </w:r>
          </w:p>
        </w:tc>
        <w:tc>
          <w:tcPr>
            <w:tcW w:w="2238" w:type="dxa"/>
          </w:tcPr>
          <w:p w:rsidR="0074696D" w:rsidRDefault="0074696D" w:rsidP="0074696D">
            <w:pPr>
              <w:pStyle w:val="Tableheading"/>
              <w:rPr>
                <w:noProof/>
              </w:rPr>
            </w:pPr>
            <w:r>
              <w:rPr>
                <w:noProof/>
              </w:rPr>
              <w:t>Extended response</w:t>
            </w:r>
          </w:p>
        </w:tc>
        <w:tc>
          <w:tcPr>
            <w:tcW w:w="2239" w:type="dxa"/>
          </w:tcPr>
          <w:p w:rsidR="0074696D" w:rsidRDefault="0074696D" w:rsidP="0074696D">
            <w:pPr>
              <w:pStyle w:val="Tableheading"/>
              <w:rPr>
                <w:noProof/>
              </w:rPr>
            </w:pPr>
            <w:r>
              <w:rPr>
                <w:noProof/>
              </w:rPr>
              <w:t>Investigation</w:t>
            </w:r>
          </w:p>
        </w:tc>
      </w:tr>
      <w:tr w:rsidR="0074696D" w:rsidTr="0029403E">
        <w:tc>
          <w:tcPr>
            <w:tcW w:w="2238" w:type="dxa"/>
          </w:tcPr>
          <w:p w:rsidR="0074696D" w:rsidRDefault="0074696D" w:rsidP="0074696D">
            <w:pPr>
              <w:pStyle w:val="Tabletext"/>
              <w:rPr>
                <w:noProof/>
              </w:rPr>
            </w:pPr>
            <w:r w:rsidRPr="00D20CAB">
              <w:t>A response to a single t</w:t>
            </w:r>
            <w:r>
              <w:t>ask, situation and/or scenario.</w:t>
            </w:r>
          </w:p>
        </w:tc>
        <w:tc>
          <w:tcPr>
            <w:tcW w:w="2239" w:type="dxa"/>
          </w:tcPr>
          <w:p w:rsidR="0074696D" w:rsidRDefault="0074696D" w:rsidP="0074696D">
            <w:pPr>
              <w:pStyle w:val="Tabletext"/>
              <w:rPr>
                <w:noProof/>
              </w:rPr>
            </w:pPr>
            <w:r>
              <w:rPr>
                <w:noProof/>
              </w:rPr>
              <w:t>A technique that assesses the application of idenified skills to the production of artworks.</w:t>
            </w:r>
          </w:p>
        </w:tc>
        <w:tc>
          <w:tcPr>
            <w:tcW w:w="2238" w:type="dxa"/>
          </w:tcPr>
          <w:p w:rsidR="0074696D" w:rsidRDefault="0074696D" w:rsidP="009F35AE">
            <w:pPr>
              <w:pStyle w:val="Tabletext"/>
              <w:rPr>
                <w:noProof/>
              </w:rPr>
            </w:pPr>
            <w:r w:rsidRPr="00D20CAB">
              <w:t xml:space="preserve">A </w:t>
            </w:r>
            <w:r w:rsidR="009F35AE">
              <w:t>technique</w:t>
            </w:r>
            <w:r w:rsidR="009F35AE" w:rsidRPr="00D20CAB">
              <w:t xml:space="preserve"> </w:t>
            </w:r>
            <w:r w:rsidRPr="00D20CAB">
              <w:t>that assesses</w:t>
            </w:r>
            <w:r w:rsidRPr="00FD3CE9">
              <w:t xml:space="preserve"> the interpretation, analysis/examination and/or evaluation of ideas and information in provided stimulus materials</w:t>
            </w:r>
            <w:r w:rsidRPr="00D20CAB">
              <w:t>.</w:t>
            </w:r>
          </w:p>
        </w:tc>
        <w:tc>
          <w:tcPr>
            <w:tcW w:w="2239" w:type="dxa"/>
          </w:tcPr>
          <w:p w:rsidR="0074696D" w:rsidRDefault="0074696D" w:rsidP="0074696D">
            <w:pPr>
              <w:pStyle w:val="Tabletext"/>
              <w:rPr>
                <w:noProof/>
              </w:rPr>
            </w:pPr>
            <w:r w:rsidRPr="00D20CAB">
              <w:t>A response that includes</w:t>
            </w:r>
            <w:r>
              <w:t xml:space="preserve"> </w:t>
            </w:r>
            <w:r w:rsidRPr="0066685A">
              <w:t>locating and using information beyond students’ own knowledge and the data they have been given</w:t>
            </w:r>
            <w:r w:rsidRPr="00D20CAB">
              <w:t>.</w:t>
            </w:r>
          </w:p>
        </w:tc>
      </w:tr>
      <w:tr w:rsidR="0074696D" w:rsidTr="0029403E">
        <w:tc>
          <w:tcPr>
            <w:tcW w:w="2238" w:type="dxa"/>
          </w:tcPr>
          <w:p w:rsidR="00B9021A" w:rsidRDefault="00B9021A" w:rsidP="0074696D">
            <w:pPr>
              <w:pStyle w:val="Tabletext"/>
            </w:pPr>
            <w:r>
              <w:t>A project consists of:</w:t>
            </w:r>
          </w:p>
          <w:p w:rsidR="00B9021A" w:rsidRDefault="00B9021A" w:rsidP="008C3C06">
            <w:pPr>
              <w:pStyle w:val="TableBullet"/>
            </w:pPr>
            <w:r>
              <w:t>a product component: variable conditions</w:t>
            </w:r>
          </w:p>
          <w:p w:rsidR="0074696D" w:rsidRDefault="00B9021A" w:rsidP="008C3C06">
            <w:pPr>
              <w:pStyle w:val="TableBullet"/>
            </w:pPr>
            <w:r>
              <w:t>at least one</w:t>
            </w:r>
            <w:r w:rsidR="0074696D">
              <w:t xml:space="preserve"> different component from the following</w:t>
            </w:r>
          </w:p>
          <w:p w:rsidR="0074696D" w:rsidRPr="002056D5" w:rsidRDefault="009F35AE" w:rsidP="008C3C06">
            <w:pPr>
              <w:pStyle w:val="TableBullet2"/>
            </w:pPr>
            <w:r>
              <w:t>w</w:t>
            </w:r>
            <w:r w:rsidR="0074696D" w:rsidRPr="002056D5">
              <w:t>ritten: 500–900 words</w:t>
            </w:r>
          </w:p>
          <w:p w:rsidR="0074696D" w:rsidRPr="002056D5" w:rsidRDefault="009F35AE" w:rsidP="008C3C06">
            <w:pPr>
              <w:pStyle w:val="TableBullet2"/>
            </w:pPr>
            <w:r>
              <w:t>s</w:t>
            </w:r>
            <w:r w:rsidR="0074696D" w:rsidRPr="002056D5">
              <w:t>poken: 2½–3½ minutes</w:t>
            </w:r>
          </w:p>
          <w:p w:rsidR="0074696D" w:rsidRDefault="009F35AE" w:rsidP="008C3C06">
            <w:pPr>
              <w:pStyle w:val="TableBullet2"/>
            </w:pPr>
            <w:r>
              <w:t>m</w:t>
            </w:r>
            <w:r w:rsidR="0074696D" w:rsidRPr="002056D5">
              <w:t xml:space="preserve">ultimodal </w:t>
            </w:r>
          </w:p>
          <w:p w:rsidR="0074696D" w:rsidRPr="004B5ECE" w:rsidRDefault="0074696D" w:rsidP="008C3C06">
            <w:pPr>
              <w:pStyle w:val="TableBullet3"/>
              <w:rPr>
                <w:lang w:val="fr-FR"/>
              </w:rPr>
            </w:pPr>
            <w:r w:rsidRPr="004B5ECE">
              <w:rPr>
                <w:lang w:val="fr-FR"/>
              </w:rPr>
              <w:t>non-presentation</w:t>
            </w:r>
            <w:r w:rsidR="009F35AE" w:rsidRPr="004B5ECE">
              <w:rPr>
                <w:lang w:val="fr-FR"/>
              </w:rPr>
              <w:t>:</w:t>
            </w:r>
            <w:r w:rsidRPr="004B5ECE">
              <w:rPr>
                <w:lang w:val="fr-FR"/>
              </w:rPr>
              <w:t xml:space="preserve"> 8 A4 pages max (or equivalent)</w:t>
            </w:r>
          </w:p>
          <w:p w:rsidR="0074696D" w:rsidRPr="00A128E2" w:rsidRDefault="0074696D" w:rsidP="008C3C06">
            <w:pPr>
              <w:pStyle w:val="TableBullet3"/>
            </w:pPr>
            <w:r>
              <w:t>presentation</w:t>
            </w:r>
            <w:r w:rsidR="009F35AE">
              <w:t>:</w:t>
            </w:r>
            <w:r>
              <w:t xml:space="preserve"> </w:t>
            </w:r>
            <w:r w:rsidRPr="002056D5">
              <w:t>3</w:t>
            </w:r>
            <w:r>
              <w:t>–</w:t>
            </w:r>
            <w:r w:rsidRPr="002056D5">
              <w:t>6 minutes.</w:t>
            </w:r>
          </w:p>
        </w:tc>
        <w:tc>
          <w:tcPr>
            <w:tcW w:w="2239" w:type="dxa"/>
          </w:tcPr>
          <w:p w:rsidR="0074696D" w:rsidRPr="00A128E2" w:rsidRDefault="0074696D" w:rsidP="0074696D">
            <w:pPr>
              <w:pStyle w:val="TableBullet"/>
              <w:rPr>
                <w:noProof/>
              </w:rPr>
            </w:pPr>
            <w:r>
              <w:rPr>
                <w:noProof/>
              </w:rPr>
              <w:t>variable conditions</w:t>
            </w:r>
          </w:p>
        </w:tc>
        <w:tc>
          <w:tcPr>
            <w:tcW w:w="2238" w:type="dxa"/>
          </w:tcPr>
          <w:p w:rsidR="00B9021A" w:rsidRPr="00EF321E" w:rsidRDefault="00513ECA" w:rsidP="008C3C06">
            <w:pPr>
              <w:pStyle w:val="TableText0"/>
            </w:pPr>
            <w:r w:rsidRPr="00EF321E">
              <w:t>Presented in one of the following modes:</w:t>
            </w:r>
          </w:p>
          <w:p w:rsidR="0074696D" w:rsidRPr="00D20CAB" w:rsidRDefault="00240AF6" w:rsidP="0074696D">
            <w:pPr>
              <w:pStyle w:val="TableBullet"/>
            </w:pPr>
            <w:r>
              <w:t>w</w:t>
            </w:r>
            <w:r w:rsidR="0074696D" w:rsidRPr="00D20CAB">
              <w:t>ritten: 600</w:t>
            </w:r>
            <w:r w:rsidR="0074696D">
              <w:t>–</w:t>
            </w:r>
            <w:r w:rsidR="0074696D" w:rsidRPr="00D20CAB">
              <w:t>1000 words</w:t>
            </w:r>
          </w:p>
          <w:p w:rsidR="0074696D" w:rsidRPr="002056D5" w:rsidRDefault="00240AF6" w:rsidP="0074696D">
            <w:pPr>
              <w:pStyle w:val="TableBullet"/>
            </w:pPr>
            <w:r>
              <w:t>s</w:t>
            </w:r>
            <w:r w:rsidR="0074696D" w:rsidRPr="00D20CAB">
              <w:t xml:space="preserve">poken: </w:t>
            </w:r>
            <w:r w:rsidR="0074696D" w:rsidRPr="002056D5">
              <w:t>3</w:t>
            </w:r>
            <w:r w:rsidR="0074696D">
              <w:t>–</w:t>
            </w:r>
            <w:r w:rsidR="0074696D" w:rsidRPr="002056D5">
              <w:t>4 minutes</w:t>
            </w:r>
          </w:p>
          <w:p w:rsidR="0074696D" w:rsidRDefault="00240AF6" w:rsidP="0074696D">
            <w:pPr>
              <w:pStyle w:val="TableBullet"/>
              <w:rPr>
                <w:noProof/>
              </w:rPr>
            </w:pPr>
            <w:r>
              <w:t>m</w:t>
            </w:r>
            <w:r w:rsidR="0074696D">
              <w:t xml:space="preserve">ultimodal </w:t>
            </w:r>
          </w:p>
          <w:p w:rsidR="0074696D" w:rsidRPr="004B5ECE" w:rsidRDefault="0074696D" w:rsidP="0074696D">
            <w:pPr>
              <w:pStyle w:val="TableBullet2"/>
              <w:rPr>
                <w:noProof/>
                <w:lang w:val="fr-FR"/>
              </w:rPr>
            </w:pPr>
            <w:r w:rsidRPr="004B5ECE">
              <w:rPr>
                <w:lang w:val="fr-FR"/>
              </w:rPr>
              <w:t>non-presentation</w:t>
            </w:r>
            <w:r w:rsidR="00240AF6" w:rsidRPr="004B5ECE">
              <w:rPr>
                <w:lang w:val="fr-FR"/>
              </w:rPr>
              <w:t>:</w:t>
            </w:r>
            <w:r w:rsidRPr="004B5ECE">
              <w:rPr>
                <w:lang w:val="fr-FR"/>
              </w:rPr>
              <w:t xml:space="preserve"> 10 A4 pages max (or equivalent) </w:t>
            </w:r>
          </w:p>
          <w:p w:rsidR="0074696D" w:rsidRDefault="0074696D" w:rsidP="0074696D">
            <w:pPr>
              <w:pStyle w:val="TableBullet2"/>
              <w:rPr>
                <w:noProof/>
              </w:rPr>
            </w:pPr>
            <w:r>
              <w:t>presentation</w:t>
            </w:r>
            <w:r w:rsidR="00240AF6">
              <w:t>:</w:t>
            </w:r>
            <w:r>
              <w:t xml:space="preserve"> </w:t>
            </w:r>
            <w:r w:rsidRPr="002056D5">
              <w:t>4</w:t>
            </w:r>
            <w:r>
              <w:t>–</w:t>
            </w:r>
            <w:r w:rsidRPr="002056D5">
              <w:t>7 minutes</w:t>
            </w:r>
            <w:r w:rsidR="00240AF6">
              <w:t>.</w:t>
            </w:r>
          </w:p>
        </w:tc>
        <w:tc>
          <w:tcPr>
            <w:tcW w:w="2239" w:type="dxa"/>
          </w:tcPr>
          <w:p w:rsidR="00B9021A" w:rsidRDefault="00513ECA" w:rsidP="00B9021A">
            <w:pPr>
              <w:pStyle w:val="TableBullet"/>
              <w:numPr>
                <w:ilvl w:val="0"/>
                <w:numId w:val="0"/>
              </w:numPr>
            </w:pPr>
            <w:r w:rsidRPr="00513ECA">
              <w:t>Presented in one of the following modes:</w:t>
            </w:r>
          </w:p>
          <w:p w:rsidR="0074696D" w:rsidRPr="00D20CAB" w:rsidRDefault="00240AF6" w:rsidP="0074696D">
            <w:pPr>
              <w:pStyle w:val="TableBullet"/>
            </w:pPr>
            <w:r>
              <w:t>w</w:t>
            </w:r>
            <w:r w:rsidR="0074696D" w:rsidRPr="00D20CAB">
              <w:t>ritten: 600</w:t>
            </w:r>
            <w:r w:rsidR="0074696D">
              <w:t>–</w:t>
            </w:r>
            <w:r w:rsidR="0074696D" w:rsidRPr="00D20CAB">
              <w:t>1000 words</w:t>
            </w:r>
          </w:p>
          <w:p w:rsidR="0074696D" w:rsidRPr="00D20CAB" w:rsidRDefault="00240AF6" w:rsidP="0074696D">
            <w:pPr>
              <w:pStyle w:val="TableBullet"/>
            </w:pPr>
            <w:r>
              <w:t>s</w:t>
            </w:r>
            <w:r w:rsidR="0074696D" w:rsidRPr="00D20CAB">
              <w:t>poken: 3</w:t>
            </w:r>
            <w:r w:rsidR="0074696D">
              <w:t>–</w:t>
            </w:r>
            <w:r w:rsidR="0074696D" w:rsidRPr="00D20CAB">
              <w:t>4 minutes</w:t>
            </w:r>
          </w:p>
          <w:p w:rsidR="0074696D" w:rsidRDefault="00240AF6" w:rsidP="0074696D">
            <w:pPr>
              <w:pStyle w:val="TableBullet"/>
              <w:rPr>
                <w:noProof/>
              </w:rPr>
            </w:pPr>
            <w:r>
              <w:t>m</w:t>
            </w:r>
            <w:r w:rsidR="0074696D">
              <w:t xml:space="preserve">ultimodal </w:t>
            </w:r>
          </w:p>
          <w:p w:rsidR="0074696D" w:rsidRPr="004B5ECE" w:rsidRDefault="0074696D" w:rsidP="0074696D">
            <w:pPr>
              <w:pStyle w:val="TableBullet2"/>
              <w:rPr>
                <w:noProof/>
                <w:lang w:val="fr-FR"/>
              </w:rPr>
            </w:pPr>
            <w:r w:rsidRPr="004B5ECE">
              <w:rPr>
                <w:lang w:val="fr-FR"/>
              </w:rPr>
              <w:t>non-presentation</w:t>
            </w:r>
            <w:r w:rsidR="00240AF6" w:rsidRPr="004B5ECE">
              <w:rPr>
                <w:lang w:val="fr-FR"/>
              </w:rPr>
              <w:t>:</w:t>
            </w:r>
            <w:r w:rsidRPr="004B5ECE">
              <w:rPr>
                <w:lang w:val="fr-FR"/>
              </w:rPr>
              <w:t xml:space="preserve"> 10 A4 pages max (or equivalent) </w:t>
            </w:r>
          </w:p>
          <w:p w:rsidR="0074696D" w:rsidRDefault="0074696D" w:rsidP="0074696D">
            <w:pPr>
              <w:pStyle w:val="TableBullet2"/>
              <w:rPr>
                <w:noProof/>
              </w:rPr>
            </w:pPr>
            <w:r>
              <w:t>presentation</w:t>
            </w:r>
            <w:r w:rsidR="00240AF6">
              <w:t>:</w:t>
            </w:r>
            <w:r>
              <w:t xml:space="preserve"> </w:t>
            </w:r>
            <w:r w:rsidRPr="002056D5">
              <w:t>4</w:t>
            </w:r>
            <w:r>
              <w:t>–</w:t>
            </w:r>
            <w:r w:rsidRPr="002056D5">
              <w:t>7 minutes</w:t>
            </w:r>
            <w:r w:rsidR="00240AF6">
              <w:t>.</w:t>
            </w:r>
          </w:p>
        </w:tc>
      </w:tr>
      <w:bookmarkEnd w:id="9"/>
    </w:tbl>
    <w:p w:rsidR="00E275BB" w:rsidRDefault="00E275BB" w:rsidP="0074696D">
      <w:pPr>
        <w:pStyle w:val="BodyText"/>
        <w:spacing w:before="120"/>
        <w:rPr>
          <w:noProof/>
        </w:rPr>
      </w:pPr>
    </w:p>
    <w:p w:rsidR="00E275BB" w:rsidRDefault="00E275BB" w:rsidP="00E275BB">
      <w:pPr>
        <w:rPr>
          <w:noProof/>
        </w:rPr>
      </w:pPr>
      <w:r>
        <w:rPr>
          <w:noProof/>
        </w:rPr>
        <w:br w:type="page"/>
      </w:r>
    </w:p>
    <w:p w:rsidR="00425207" w:rsidRPr="00823D4D" w:rsidRDefault="00425207" w:rsidP="00823D4D">
      <w:pPr>
        <w:pStyle w:val="Heading1"/>
        <w:jc w:val="center"/>
      </w:pPr>
      <w:bookmarkStart w:id="333" w:name="_Toc16206741"/>
      <w:r w:rsidRPr="00823D4D">
        <w:t>VET SUBJECT SELECTION</w:t>
      </w:r>
      <w:bookmarkEnd w:id="333"/>
    </w:p>
    <w:p w:rsidR="00425207" w:rsidRDefault="00425207" w:rsidP="00425207">
      <w:pPr>
        <w:spacing w:line="259" w:lineRule="auto"/>
        <w:ind w:left="175"/>
        <w:jc w:val="center"/>
      </w:pPr>
      <w:r>
        <w:rPr>
          <w:b/>
          <w:sz w:val="72"/>
        </w:rPr>
        <w:t xml:space="preserve"> </w:t>
      </w:r>
    </w:p>
    <w:p w:rsidR="00425207" w:rsidRDefault="00425207" w:rsidP="00425207">
      <w:pPr>
        <w:spacing w:after="275" w:line="259" w:lineRule="auto"/>
        <w:ind w:right="26"/>
        <w:jc w:val="center"/>
      </w:pPr>
      <w:r>
        <w:rPr>
          <w:b/>
          <w:sz w:val="44"/>
        </w:rPr>
        <w:t xml:space="preserve">RTO – Pioneer SHS - 30424 </w:t>
      </w:r>
    </w:p>
    <w:p w:rsidR="00425207" w:rsidRDefault="00425207" w:rsidP="00425207">
      <w:pPr>
        <w:spacing w:line="259" w:lineRule="auto"/>
        <w:ind w:left="175"/>
        <w:jc w:val="center"/>
      </w:pPr>
      <w:r>
        <w:rPr>
          <w:b/>
          <w:sz w:val="72"/>
        </w:rPr>
        <w:t xml:space="preserve"> </w:t>
      </w:r>
    </w:p>
    <w:p w:rsidR="00425207" w:rsidRDefault="00425207" w:rsidP="00425207">
      <w:pPr>
        <w:spacing w:line="259" w:lineRule="auto"/>
        <w:ind w:left="540" w:right="3244"/>
      </w:pPr>
      <w:r>
        <w:t xml:space="preserve"> </w:t>
      </w:r>
    </w:p>
    <w:p w:rsidR="00425207" w:rsidRDefault="00425207" w:rsidP="00425207">
      <w:pPr>
        <w:spacing w:after="255" w:line="259" w:lineRule="auto"/>
        <w:ind w:left="3588"/>
      </w:pPr>
      <w:r>
        <w:rPr>
          <w:noProof/>
          <w:lang w:eastAsia="zh-TW"/>
        </w:rPr>
        <w:drawing>
          <wp:inline distT="0" distB="0" distL="0" distR="0" wp14:anchorId="6138F579" wp14:editId="612E1393">
            <wp:extent cx="1472184" cy="1249680"/>
            <wp:effectExtent l="0" t="0" r="0" b="0"/>
            <wp:docPr id="12697" name="Picture 12697"/>
            <wp:cNvGraphicFramePr/>
            <a:graphic xmlns:a="http://schemas.openxmlformats.org/drawingml/2006/main">
              <a:graphicData uri="http://schemas.openxmlformats.org/drawingml/2006/picture">
                <pic:pic xmlns:pic="http://schemas.openxmlformats.org/drawingml/2006/picture">
                  <pic:nvPicPr>
                    <pic:cNvPr id="12697" name="Picture 12697"/>
                    <pic:cNvPicPr/>
                  </pic:nvPicPr>
                  <pic:blipFill>
                    <a:blip r:embed="rId45"/>
                    <a:stretch>
                      <a:fillRect/>
                    </a:stretch>
                  </pic:blipFill>
                  <pic:spPr>
                    <a:xfrm>
                      <a:off x="0" y="0"/>
                      <a:ext cx="1472184" cy="1249680"/>
                    </a:xfrm>
                    <a:prstGeom prst="rect">
                      <a:avLst/>
                    </a:prstGeom>
                  </pic:spPr>
                </pic:pic>
              </a:graphicData>
            </a:graphic>
          </wp:inline>
        </w:drawing>
      </w:r>
    </w:p>
    <w:p w:rsidR="00425207" w:rsidRDefault="00425207" w:rsidP="00425207">
      <w:pPr>
        <w:spacing w:after="9" w:line="259" w:lineRule="auto"/>
      </w:pPr>
      <w:r>
        <w:rPr>
          <w:b/>
          <w:sz w:val="36"/>
        </w:rPr>
        <w:t xml:space="preserve"> </w:t>
      </w:r>
    </w:p>
    <w:p w:rsidR="001319BC" w:rsidRPr="001319BC" w:rsidRDefault="00425207" w:rsidP="00594517">
      <w:pPr>
        <w:spacing w:after="31" w:line="259" w:lineRule="auto"/>
        <w:jc w:val="center"/>
        <w:rPr>
          <w:color w:val="000000"/>
          <w:sz w:val="36"/>
        </w:rPr>
      </w:pPr>
      <w:bookmarkStart w:id="334" w:name="_Toc16205072"/>
      <w:bookmarkStart w:id="335" w:name="_Toc16205685"/>
      <w:bookmarkStart w:id="336" w:name="_Toc16206742"/>
      <w:bookmarkStart w:id="337" w:name="_Toc16163688"/>
      <w:r w:rsidRPr="001319BC">
        <w:rPr>
          <w:rStyle w:val="Heading1Char"/>
        </w:rPr>
        <w:t>CERTIFICATE SUBJECTS</w:t>
      </w:r>
      <w:bookmarkEnd w:id="334"/>
      <w:bookmarkEnd w:id="335"/>
      <w:bookmarkEnd w:id="336"/>
    </w:p>
    <w:p w:rsidR="00425207" w:rsidRDefault="00425207" w:rsidP="00425207">
      <w:pPr>
        <w:pStyle w:val="Heading3"/>
        <w:spacing w:after="17" w:line="259" w:lineRule="auto"/>
        <w:ind w:left="-5"/>
      </w:pPr>
      <w:r>
        <w:rPr>
          <w:color w:val="000000"/>
        </w:rPr>
        <w:t>Vocational Education and Training subjects available at Pioneer SHS - RTO 30424</w:t>
      </w:r>
      <w:bookmarkEnd w:id="337"/>
      <w:r>
        <w:rPr>
          <w:i/>
          <w:color w:val="000000"/>
        </w:rPr>
        <w:t xml:space="preserve"> </w:t>
      </w:r>
    </w:p>
    <w:p w:rsidR="00425207" w:rsidRDefault="00425207" w:rsidP="00425207">
      <w:pPr>
        <w:spacing w:after="22" w:line="259" w:lineRule="auto"/>
      </w:pPr>
      <w:r>
        <w:t xml:space="preserve"> </w:t>
      </w:r>
    </w:p>
    <w:p w:rsidR="00425207" w:rsidRDefault="00425207" w:rsidP="00425207">
      <w:pPr>
        <w:spacing w:line="259" w:lineRule="auto"/>
      </w:pPr>
      <w:r>
        <w:t xml:space="preserve"> </w:t>
      </w:r>
      <w:r>
        <w:tab/>
        <w:t xml:space="preserve"> </w:t>
      </w:r>
    </w:p>
    <w:p w:rsidR="00425207" w:rsidRDefault="00425207" w:rsidP="00425207">
      <w:pPr>
        <w:spacing w:line="259" w:lineRule="auto"/>
      </w:pPr>
      <w:r>
        <w:t xml:space="preserve"> </w:t>
      </w:r>
    </w:p>
    <w:tbl>
      <w:tblPr>
        <w:tblStyle w:val="TableGrid0"/>
        <w:tblW w:w="8645" w:type="dxa"/>
        <w:tblInd w:w="540" w:type="dxa"/>
        <w:tblCellMar>
          <w:top w:w="71" w:type="dxa"/>
          <w:left w:w="106" w:type="dxa"/>
          <w:right w:w="27" w:type="dxa"/>
        </w:tblCellMar>
        <w:tblLook w:val="04A0" w:firstRow="1" w:lastRow="0" w:firstColumn="1" w:lastColumn="0" w:noHBand="0" w:noVBand="1"/>
      </w:tblPr>
      <w:tblGrid>
        <w:gridCol w:w="7512"/>
        <w:gridCol w:w="1133"/>
      </w:tblGrid>
      <w:tr w:rsidR="00425207" w:rsidTr="00425207">
        <w:trPr>
          <w:trHeight w:val="552"/>
        </w:trPr>
        <w:tc>
          <w:tcPr>
            <w:tcW w:w="7512" w:type="dxa"/>
            <w:tcBorders>
              <w:top w:val="single" w:sz="4" w:space="0" w:color="000000"/>
              <w:left w:val="single" w:sz="4" w:space="0" w:color="000000"/>
              <w:bottom w:val="single" w:sz="17" w:space="0" w:color="000000"/>
              <w:right w:val="single" w:sz="4" w:space="0" w:color="000000"/>
            </w:tcBorders>
          </w:tcPr>
          <w:p w:rsidR="00425207" w:rsidRDefault="00425207" w:rsidP="00425207">
            <w:pPr>
              <w:spacing w:line="259" w:lineRule="auto"/>
              <w:ind w:right="86"/>
              <w:jc w:val="center"/>
            </w:pPr>
            <w:r>
              <w:rPr>
                <w:b/>
                <w:sz w:val="32"/>
              </w:rPr>
              <w:t>Subject</w:t>
            </w:r>
            <w:r>
              <w:rPr>
                <w:sz w:val="32"/>
              </w:rPr>
              <w:t xml:space="preserve"> </w:t>
            </w:r>
          </w:p>
        </w:tc>
        <w:tc>
          <w:tcPr>
            <w:tcW w:w="1133" w:type="dxa"/>
            <w:tcBorders>
              <w:top w:val="single" w:sz="4" w:space="0" w:color="000000"/>
              <w:left w:val="single" w:sz="4" w:space="0" w:color="000000"/>
              <w:bottom w:val="single" w:sz="17" w:space="0" w:color="000000"/>
              <w:right w:val="single" w:sz="4" w:space="0" w:color="000000"/>
            </w:tcBorders>
          </w:tcPr>
          <w:p w:rsidR="00425207" w:rsidRDefault="00425207" w:rsidP="00425207">
            <w:pPr>
              <w:spacing w:line="259" w:lineRule="auto"/>
              <w:ind w:left="113"/>
            </w:pPr>
            <w:r>
              <w:rPr>
                <w:b/>
                <w:sz w:val="32"/>
              </w:rPr>
              <w:t>Code</w:t>
            </w:r>
            <w:r>
              <w:rPr>
                <w:sz w:val="32"/>
              </w:rPr>
              <w:t xml:space="preserve"> </w:t>
            </w:r>
          </w:p>
        </w:tc>
      </w:tr>
      <w:tr w:rsidR="00425207" w:rsidTr="00425207">
        <w:trPr>
          <w:trHeight w:val="655"/>
        </w:trPr>
        <w:tc>
          <w:tcPr>
            <w:tcW w:w="7512" w:type="dxa"/>
            <w:tcBorders>
              <w:top w:val="single" w:sz="4" w:space="0" w:color="000000"/>
              <w:left w:val="single" w:sz="4" w:space="0" w:color="000000"/>
              <w:bottom w:val="single" w:sz="4" w:space="0" w:color="000000"/>
              <w:right w:val="single" w:sz="4" w:space="0" w:color="000000"/>
            </w:tcBorders>
            <w:vAlign w:val="center"/>
          </w:tcPr>
          <w:p w:rsidR="00AE64F3" w:rsidRDefault="00AE64F3" w:rsidP="00425207">
            <w:pPr>
              <w:spacing w:line="259" w:lineRule="auto"/>
              <w:rPr>
                <w:b/>
                <w:sz w:val="32"/>
              </w:rPr>
            </w:pPr>
          </w:p>
          <w:p w:rsidR="00425207" w:rsidRDefault="00547419" w:rsidP="00425207">
            <w:pPr>
              <w:spacing w:line="259" w:lineRule="auto"/>
            </w:pPr>
            <w:r>
              <w:rPr>
                <w:b/>
                <w:sz w:val="32"/>
              </w:rPr>
              <w:t>Certificate II</w:t>
            </w:r>
            <w:r w:rsidR="00425207">
              <w:rPr>
                <w:b/>
                <w:sz w:val="32"/>
              </w:rPr>
              <w:t xml:space="preserve"> in Business -</w:t>
            </w:r>
            <w:r w:rsidR="00425207">
              <w:rPr>
                <w:sz w:val="32"/>
                <w:vertAlign w:val="subscript"/>
              </w:rPr>
              <w:t xml:space="preserve"> </w:t>
            </w:r>
            <w:r w:rsidR="00425207">
              <w:rPr>
                <w:b/>
                <w:sz w:val="32"/>
              </w:rPr>
              <w:t xml:space="preserve">BSB20115 </w:t>
            </w:r>
          </w:p>
        </w:tc>
        <w:tc>
          <w:tcPr>
            <w:tcW w:w="1133" w:type="dxa"/>
            <w:tcBorders>
              <w:top w:val="single" w:sz="4" w:space="0" w:color="000000"/>
              <w:left w:val="single" w:sz="4" w:space="0" w:color="000000"/>
              <w:bottom w:val="single" w:sz="4" w:space="0" w:color="000000"/>
              <w:right w:val="single" w:sz="4" w:space="0" w:color="000000"/>
            </w:tcBorders>
            <w:vAlign w:val="center"/>
          </w:tcPr>
          <w:p w:rsidR="00425207" w:rsidRDefault="001C472B" w:rsidP="00425207">
            <w:pPr>
              <w:spacing w:line="259" w:lineRule="auto"/>
            </w:pPr>
            <w:r>
              <w:rPr>
                <w:b/>
                <w:sz w:val="32"/>
              </w:rPr>
              <w:t>BSN</w:t>
            </w:r>
            <w:r w:rsidR="00425207">
              <w:rPr>
                <w:b/>
                <w:sz w:val="32"/>
              </w:rPr>
              <w:t xml:space="preserve"> </w:t>
            </w:r>
          </w:p>
        </w:tc>
      </w:tr>
      <w:tr w:rsidR="00425207" w:rsidTr="00425207">
        <w:trPr>
          <w:trHeight w:val="1058"/>
        </w:trPr>
        <w:tc>
          <w:tcPr>
            <w:tcW w:w="7512" w:type="dxa"/>
            <w:tcBorders>
              <w:top w:val="single" w:sz="4" w:space="0" w:color="000000"/>
              <w:left w:val="single" w:sz="4" w:space="0" w:color="000000"/>
              <w:bottom w:val="single" w:sz="4" w:space="0" w:color="000000"/>
              <w:right w:val="single" w:sz="4" w:space="0" w:color="000000"/>
            </w:tcBorders>
            <w:vAlign w:val="center"/>
          </w:tcPr>
          <w:p w:rsidR="00425207" w:rsidRDefault="00547419" w:rsidP="00425207">
            <w:pPr>
              <w:spacing w:after="9" w:line="259" w:lineRule="auto"/>
            </w:pPr>
            <w:r>
              <w:rPr>
                <w:b/>
                <w:sz w:val="32"/>
              </w:rPr>
              <w:t>Certificate II</w:t>
            </w:r>
            <w:r w:rsidR="00425207">
              <w:rPr>
                <w:b/>
                <w:sz w:val="32"/>
              </w:rPr>
              <w:t xml:space="preserve"> in Information, Digital Media and </w:t>
            </w:r>
          </w:p>
          <w:p w:rsidR="00425207" w:rsidRDefault="00425207" w:rsidP="00425207">
            <w:pPr>
              <w:spacing w:line="259" w:lineRule="auto"/>
            </w:pPr>
            <w:r>
              <w:rPr>
                <w:b/>
                <w:sz w:val="32"/>
              </w:rPr>
              <w:t xml:space="preserve">Technology – ICT20115 </w:t>
            </w:r>
          </w:p>
        </w:tc>
        <w:tc>
          <w:tcPr>
            <w:tcW w:w="1133" w:type="dxa"/>
            <w:tcBorders>
              <w:top w:val="single" w:sz="4" w:space="0" w:color="000000"/>
              <w:left w:val="single" w:sz="4" w:space="0" w:color="000000"/>
              <w:bottom w:val="single" w:sz="4" w:space="0" w:color="000000"/>
              <w:right w:val="single" w:sz="4" w:space="0" w:color="000000"/>
            </w:tcBorders>
            <w:vAlign w:val="center"/>
          </w:tcPr>
          <w:p w:rsidR="00425207" w:rsidRDefault="00425207" w:rsidP="00425207">
            <w:pPr>
              <w:spacing w:line="259" w:lineRule="auto"/>
            </w:pPr>
            <w:r>
              <w:rPr>
                <w:b/>
                <w:sz w:val="32"/>
              </w:rPr>
              <w:t xml:space="preserve">IDT </w:t>
            </w:r>
          </w:p>
        </w:tc>
      </w:tr>
      <w:tr w:rsidR="00425207" w:rsidTr="00425207">
        <w:trPr>
          <w:trHeight w:val="655"/>
        </w:trPr>
        <w:tc>
          <w:tcPr>
            <w:tcW w:w="7512" w:type="dxa"/>
            <w:tcBorders>
              <w:top w:val="single" w:sz="4" w:space="0" w:color="000000"/>
              <w:left w:val="single" w:sz="4" w:space="0" w:color="000000"/>
              <w:bottom w:val="single" w:sz="4" w:space="0" w:color="000000"/>
              <w:right w:val="single" w:sz="4" w:space="0" w:color="000000"/>
            </w:tcBorders>
            <w:vAlign w:val="center"/>
          </w:tcPr>
          <w:p w:rsidR="00425207" w:rsidRDefault="00547419" w:rsidP="00547419">
            <w:pPr>
              <w:spacing w:line="259" w:lineRule="auto"/>
            </w:pPr>
            <w:r>
              <w:rPr>
                <w:b/>
                <w:sz w:val="32"/>
              </w:rPr>
              <w:t>Certificate I</w:t>
            </w:r>
            <w:r w:rsidR="00425207">
              <w:rPr>
                <w:b/>
                <w:sz w:val="32"/>
              </w:rPr>
              <w:t xml:space="preserve">I in Hospitality -  SIT20216 </w:t>
            </w:r>
          </w:p>
        </w:tc>
        <w:tc>
          <w:tcPr>
            <w:tcW w:w="1133" w:type="dxa"/>
            <w:tcBorders>
              <w:top w:val="single" w:sz="4" w:space="0" w:color="000000"/>
              <w:left w:val="single" w:sz="4" w:space="0" w:color="000000"/>
              <w:bottom w:val="single" w:sz="4" w:space="0" w:color="000000"/>
              <w:right w:val="single" w:sz="4" w:space="0" w:color="000000"/>
            </w:tcBorders>
            <w:vAlign w:val="center"/>
          </w:tcPr>
          <w:p w:rsidR="00425207" w:rsidRDefault="00425207" w:rsidP="00425207">
            <w:pPr>
              <w:spacing w:line="259" w:lineRule="auto"/>
            </w:pPr>
            <w:r>
              <w:rPr>
                <w:b/>
                <w:sz w:val="32"/>
              </w:rPr>
              <w:t xml:space="preserve">VHT </w:t>
            </w:r>
          </w:p>
        </w:tc>
      </w:tr>
      <w:tr w:rsidR="00425207" w:rsidTr="00425207">
        <w:trPr>
          <w:trHeight w:val="655"/>
        </w:trPr>
        <w:tc>
          <w:tcPr>
            <w:tcW w:w="7512" w:type="dxa"/>
            <w:tcBorders>
              <w:top w:val="single" w:sz="4" w:space="0" w:color="000000"/>
              <w:left w:val="single" w:sz="4" w:space="0" w:color="000000"/>
              <w:bottom w:val="single" w:sz="4" w:space="0" w:color="000000"/>
              <w:right w:val="single" w:sz="4" w:space="0" w:color="000000"/>
            </w:tcBorders>
            <w:vAlign w:val="center"/>
          </w:tcPr>
          <w:p w:rsidR="00425207" w:rsidRDefault="00425207" w:rsidP="00425207">
            <w:pPr>
              <w:spacing w:line="259" w:lineRule="auto"/>
            </w:pPr>
            <w:r>
              <w:rPr>
                <w:b/>
                <w:sz w:val="32"/>
              </w:rPr>
              <w:t xml:space="preserve">Cert lll in Fitness – SIS30315 </w:t>
            </w:r>
          </w:p>
        </w:tc>
        <w:tc>
          <w:tcPr>
            <w:tcW w:w="1133" w:type="dxa"/>
            <w:tcBorders>
              <w:top w:val="single" w:sz="4" w:space="0" w:color="000000"/>
              <w:left w:val="single" w:sz="4" w:space="0" w:color="000000"/>
              <w:bottom w:val="single" w:sz="4" w:space="0" w:color="000000"/>
              <w:right w:val="single" w:sz="4" w:space="0" w:color="000000"/>
            </w:tcBorders>
            <w:vAlign w:val="center"/>
          </w:tcPr>
          <w:p w:rsidR="00425207" w:rsidRDefault="00425207" w:rsidP="00425207">
            <w:pPr>
              <w:spacing w:line="259" w:lineRule="auto"/>
            </w:pPr>
            <w:r>
              <w:rPr>
                <w:b/>
                <w:sz w:val="32"/>
              </w:rPr>
              <w:t xml:space="preserve">FTN </w:t>
            </w:r>
          </w:p>
        </w:tc>
      </w:tr>
    </w:tbl>
    <w:p w:rsidR="00425207" w:rsidRDefault="00425207" w:rsidP="00425207">
      <w:pPr>
        <w:spacing w:after="4" w:line="259" w:lineRule="auto"/>
      </w:pPr>
      <w:r>
        <w:t xml:space="preserve"> </w:t>
      </w:r>
    </w:p>
    <w:p w:rsidR="00425207" w:rsidRDefault="00425207" w:rsidP="00425207">
      <w:pPr>
        <w:spacing w:after="124" w:line="259" w:lineRule="auto"/>
        <w:ind w:left="173"/>
        <w:jc w:val="center"/>
      </w:pPr>
      <w:r>
        <w:rPr>
          <w:b/>
        </w:rPr>
        <w:t xml:space="preserve"> </w:t>
      </w:r>
    </w:p>
    <w:p w:rsidR="00425207" w:rsidRDefault="00425207" w:rsidP="00425207">
      <w:pPr>
        <w:spacing w:after="123"/>
        <w:ind w:left="-5" w:right="46"/>
      </w:pPr>
      <w:r>
        <w:t>Please note all Vocational Education Certificate course are only available should there be sufficient numbers of students and Pioneer SHS is able to provide suitably qualified st</w:t>
      </w:r>
      <w:r w:rsidR="00594517">
        <w:t>aff to offer the course in 2020.</w:t>
      </w:r>
      <w:r>
        <w:t xml:space="preserve"> </w:t>
      </w:r>
    </w:p>
    <w:p w:rsidR="00425207" w:rsidRPr="00594517" w:rsidRDefault="007128D0" w:rsidP="00594517">
      <w:pPr>
        <w:pStyle w:val="Heading2"/>
      </w:pPr>
      <w:bookmarkStart w:id="338" w:name="_Toc16163689"/>
      <w:bookmarkStart w:id="339" w:name="_Toc16206743"/>
      <w:r>
        <w:rPr>
          <w:noProof/>
          <w:lang w:eastAsia="zh-TW"/>
        </w:rPr>
        <w:drawing>
          <wp:anchor distT="0" distB="0" distL="114300" distR="114300" simplePos="0" relativeHeight="251662336" behindDoc="1" locked="0" layoutInCell="1" allowOverlap="1">
            <wp:simplePos x="0" y="0"/>
            <wp:positionH relativeFrom="margin">
              <wp:align>right</wp:align>
            </wp:positionH>
            <wp:positionV relativeFrom="paragraph">
              <wp:posOffset>-364036</wp:posOffset>
            </wp:positionV>
            <wp:extent cx="762000" cy="652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0" cy="652145"/>
                    </a:xfrm>
                    <a:prstGeom prst="rect">
                      <a:avLst/>
                    </a:prstGeom>
                    <a:noFill/>
                  </pic:spPr>
                </pic:pic>
              </a:graphicData>
            </a:graphic>
          </wp:anchor>
        </w:drawing>
      </w:r>
      <w:r w:rsidR="00425207" w:rsidRPr="00594517">
        <w:t>CERTIFICATE II IN BUSINESS – BSB20115</w:t>
      </w:r>
      <w:bookmarkEnd w:id="338"/>
      <w:bookmarkEnd w:id="339"/>
      <w:r w:rsidR="00425207" w:rsidRPr="00594517">
        <w:t xml:space="preserve"> </w:t>
      </w:r>
    </w:p>
    <w:p w:rsidR="00425207" w:rsidRDefault="00425207" w:rsidP="00594517">
      <w:pPr>
        <w:tabs>
          <w:tab w:val="left" w:pos="3402"/>
          <w:tab w:val="right" w:pos="8931"/>
        </w:tabs>
        <w:spacing w:after="2" w:line="259" w:lineRule="auto"/>
        <w:ind w:left="-15"/>
      </w:pPr>
      <w:r>
        <w:rPr>
          <w:b/>
        </w:rPr>
        <w:t>SUBJECT TYPE:</w:t>
      </w:r>
      <w:r>
        <w:t xml:space="preserve"> VET   </w:t>
      </w:r>
      <w:r>
        <w:tab/>
      </w:r>
      <w:r>
        <w:rPr>
          <w:b/>
        </w:rPr>
        <w:t>DURATION:</w:t>
      </w:r>
      <w:r w:rsidR="00594517">
        <w:t xml:space="preserve">  Two years  </w:t>
      </w:r>
      <w:r w:rsidR="00594517">
        <w:tab/>
        <w:t xml:space="preserve"> </w:t>
      </w:r>
      <w:r>
        <w:rPr>
          <w:b/>
        </w:rPr>
        <w:t xml:space="preserve">4 QCE Points Possible </w:t>
      </w:r>
    </w:p>
    <w:p w:rsidR="00425207" w:rsidRDefault="00425207" w:rsidP="00425207">
      <w:pPr>
        <w:spacing w:after="2" w:line="259" w:lineRule="auto"/>
      </w:pPr>
      <w:r>
        <w:t xml:space="preserve"> </w:t>
      </w:r>
    </w:p>
    <w:p w:rsidR="00425207" w:rsidRDefault="00425207" w:rsidP="00594517">
      <w:pPr>
        <w:tabs>
          <w:tab w:val="right" w:pos="8789"/>
        </w:tabs>
        <w:spacing w:after="4"/>
        <w:ind w:left="-5" w:right="46"/>
      </w:pPr>
      <w:r>
        <w:rPr>
          <w:b/>
        </w:rPr>
        <w:t xml:space="preserve">ENTRY REQUIREMENTS: </w:t>
      </w:r>
      <w:r w:rsidR="00594517">
        <w:t xml:space="preserve">   Nil</w:t>
      </w:r>
      <w:r w:rsidR="00594517">
        <w:tab/>
      </w:r>
      <w:r>
        <w:rPr>
          <w:b/>
        </w:rPr>
        <w:t>DELIVERED:</w:t>
      </w:r>
      <w:r>
        <w:t xml:space="preserve">  On site at Pioneer SHS </w:t>
      </w:r>
    </w:p>
    <w:p w:rsidR="00425207" w:rsidRDefault="00425207" w:rsidP="00425207">
      <w:pPr>
        <w:spacing w:after="4" w:line="259" w:lineRule="auto"/>
      </w:pPr>
      <w:r>
        <w:t xml:space="preserve"> </w:t>
      </w:r>
    </w:p>
    <w:p w:rsidR="00425207" w:rsidRDefault="00425207" w:rsidP="00425207">
      <w:pPr>
        <w:spacing w:after="4" w:line="259" w:lineRule="auto"/>
      </w:pPr>
      <w:r>
        <w:rPr>
          <w:b/>
        </w:rPr>
        <w:t xml:space="preserve"> </w:t>
      </w:r>
    </w:p>
    <w:p w:rsidR="00425207" w:rsidRDefault="00425207" w:rsidP="00425207">
      <w:pPr>
        <w:spacing w:after="2" w:line="259" w:lineRule="auto"/>
        <w:ind w:left="-5"/>
      </w:pPr>
      <w:r>
        <w:rPr>
          <w:b/>
        </w:rPr>
        <w:t xml:space="preserve">QUALIFICATION PACKAGING RULES: </w:t>
      </w:r>
      <w:r>
        <w:t xml:space="preserve"> </w:t>
      </w:r>
    </w:p>
    <w:p w:rsidR="00425207" w:rsidRDefault="00425207" w:rsidP="00425207">
      <w:pPr>
        <w:spacing w:after="4" w:line="259" w:lineRule="auto"/>
      </w:pPr>
      <w:r>
        <w:rPr>
          <w:b/>
        </w:rPr>
        <w:t xml:space="preserve"> </w:t>
      </w:r>
    </w:p>
    <w:p w:rsidR="001319BC" w:rsidRDefault="00425207" w:rsidP="00425207">
      <w:pPr>
        <w:spacing w:after="39"/>
        <w:ind w:left="-5" w:right="2938"/>
      </w:pPr>
      <w:r>
        <w:rPr>
          <w:b/>
        </w:rPr>
        <w:t>Total number of units</w:t>
      </w:r>
      <w:r>
        <w:t xml:space="preserve"> = 12 (1 </w:t>
      </w:r>
      <w:r w:rsidR="001319BC">
        <w:t xml:space="preserve">Core unit &amp; 11 elective units) </w:t>
      </w:r>
    </w:p>
    <w:p w:rsidR="00594517" w:rsidRDefault="00594517" w:rsidP="00425207">
      <w:pPr>
        <w:spacing w:after="39"/>
        <w:ind w:left="-5" w:right="2938"/>
      </w:pPr>
    </w:p>
    <w:p w:rsidR="00594517" w:rsidRDefault="00594517" w:rsidP="00594517">
      <w:pPr>
        <w:tabs>
          <w:tab w:val="left" w:pos="1472"/>
        </w:tabs>
        <w:suppressAutoHyphens/>
        <w:spacing w:line="360" w:lineRule="auto"/>
        <w:ind w:right="-75"/>
        <w:rPr>
          <w:rFonts w:asciiTheme="minorHAnsi" w:hAnsiTheme="minorHAnsi" w:cstheme="minorHAnsi"/>
          <w:spacing w:val="-3"/>
          <w:lang w:val="en-US"/>
        </w:rPr>
      </w:pPr>
      <w:r>
        <w:rPr>
          <w:rFonts w:asciiTheme="minorHAnsi" w:hAnsiTheme="minorHAnsi" w:cstheme="minorHAnsi"/>
          <w:spacing w:val="-3"/>
          <w:lang w:val="en-US"/>
        </w:rPr>
        <w:t>Core Unit</w:t>
      </w:r>
    </w:p>
    <w:p w:rsidR="00594517" w:rsidRDefault="00594517" w:rsidP="00594517">
      <w:pPr>
        <w:tabs>
          <w:tab w:val="left" w:pos="1472"/>
        </w:tabs>
        <w:suppressAutoHyphens/>
        <w:spacing w:line="360" w:lineRule="auto"/>
        <w:ind w:right="-75"/>
        <w:rPr>
          <w:rFonts w:asciiTheme="minorHAnsi" w:hAnsiTheme="minorHAnsi" w:cstheme="minorHAnsi"/>
          <w:spacing w:val="-3"/>
          <w:lang w:val="en-US"/>
        </w:rPr>
      </w:pPr>
      <w:r>
        <w:rPr>
          <w:rFonts w:asciiTheme="minorHAnsi" w:hAnsiTheme="minorHAnsi" w:cstheme="minorHAnsi"/>
          <w:spacing w:val="-3"/>
          <w:lang w:val="en-US"/>
        </w:rPr>
        <w:t>BSBWHS201</w:t>
      </w:r>
      <w:r>
        <w:rPr>
          <w:rFonts w:asciiTheme="minorHAnsi" w:hAnsiTheme="minorHAnsi" w:cstheme="minorHAnsi"/>
          <w:spacing w:val="-3"/>
          <w:lang w:val="en-US"/>
        </w:rPr>
        <w:tab/>
        <w:t>Contribute to the health and safety of self and others</w:t>
      </w:r>
    </w:p>
    <w:p w:rsidR="00594517" w:rsidRDefault="00594517" w:rsidP="00594517">
      <w:pPr>
        <w:tabs>
          <w:tab w:val="left" w:pos="1472"/>
        </w:tabs>
        <w:suppressAutoHyphens/>
        <w:spacing w:line="360" w:lineRule="auto"/>
        <w:ind w:right="-75"/>
        <w:rPr>
          <w:rFonts w:asciiTheme="minorHAnsi" w:hAnsiTheme="minorHAnsi" w:cstheme="minorHAnsi"/>
          <w:spacing w:val="-3"/>
          <w:lang w:val="en-US"/>
        </w:rPr>
      </w:pPr>
    </w:p>
    <w:p w:rsidR="00594517" w:rsidRPr="00594517" w:rsidRDefault="00594517" w:rsidP="00594517">
      <w:pPr>
        <w:tabs>
          <w:tab w:val="left" w:pos="1472"/>
        </w:tabs>
        <w:suppressAutoHyphens/>
        <w:spacing w:line="360" w:lineRule="auto"/>
        <w:ind w:right="-75"/>
        <w:rPr>
          <w:rFonts w:asciiTheme="minorHAnsi" w:hAnsiTheme="minorHAnsi" w:cstheme="minorHAnsi"/>
          <w:spacing w:val="-3"/>
          <w:lang w:val="en-US"/>
        </w:rPr>
      </w:pPr>
      <w:r w:rsidRPr="00594517">
        <w:rPr>
          <w:rFonts w:asciiTheme="minorHAnsi" w:hAnsiTheme="minorHAnsi" w:cstheme="minorHAnsi"/>
          <w:spacing w:val="-3"/>
          <w:lang w:val="en-US"/>
        </w:rPr>
        <w:t>Elective Units</w:t>
      </w:r>
    </w:p>
    <w:p w:rsidR="00594517" w:rsidRPr="00594517" w:rsidRDefault="00594517" w:rsidP="00594517">
      <w:pPr>
        <w:tabs>
          <w:tab w:val="left" w:pos="-720"/>
          <w:tab w:val="left" w:pos="1472"/>
        </w:tabs>
        <w:suppressAutoHyphens/>
        <w:spacing w:line="360" w:lineRule="auto"/>
        <w:rPr>
          <w:rFonts w:asciiTheme="minorHAnsi" w:hAnsiTheme="minorHAnsi" w:cstheme="minorHAnsi"/>
          <w:spacing w:val="-3"/>
          <w:sz w:val="22"/>
          <w:szCs w:val="22"/>
          <w:lang w:val="en-US"/>
        </w:rPr>
      </w:pPr>
      <w:r w:rsidRPr="00594517">
        <w:rPr>
          <w:rFonts w:asciiTheme="minorHAnsi" w:hAnsiTheme="minorHAnsi" w:cstheme="minorHAnsi"/>
          <w:spacing w:val="-3"/>
          <w:sz w:val="22"/>
          <w:szCs w:val="22"/>
          <w:lang w:val="en-US"/>
        </w:rPr>
        <w:t>BSBIND201</w:t>
      </w:r>
      <w:r w:rsidRPr="00594517">
        <w:rPr>
          <w:rFonts w:asciiTheme="minorHAnsi" w:hAnsiTheme="minorHAnsi" w:cstheme="minorHAnsi"/>
          <w:spacing w:val="-3"/>
          <w:sz w:val="22"/>
          <w:szCs w:val="22"/>
          <w:lang w:val="en-US"/>
        </w:rPr>
        <w:tab/>
        <w:t>Work effectively in a business environment</w:t>
      </w:r>
    </w:p>
    <w:p w:rsidR="00594517" w:rsidRPr="00594517" w:rsidRDefault="00594517" w:rsidP="00594517">
      <w:pPr>
        <w:tabs>
          <w:tab w:val="left" w:pos="1472"/>
        </w:tabs>
        <w:suppressAutoHyphens/>
        <w:spacing w:line="360" w:lineRule="auto"/>
        <w:ind w:right="-75"/>
        <w:rPr>
          <w:rFonts w:asciiTheme="minorHAnsi" w:hAnsiTheme="minorHAnsi" w:cstheme="minorHAnsi"/>
          <w:spacing w:val="-3"/>
          <w:sz w:val="22"/>
          <w:szCs w:val="22"/>
          <w:lang w:val="en-US"/>
        </w:rPr>
      </w:pPr>
      <w:r w:rsidRPr="00594517">
        <w:rPr>
          <w:rFonts w:asciiTheme="minorHAnsi" w:hAnsiTheme="minorHAnsi" w:cstheme="minorHAnsi"/>
          <w:spacing w:val="-3"/>
          <w:sz w:val="22"/>
          <w:szCs w:val="22"/>
          <w:lang w:val="en-US"/>
        </w:rPr>
        <w:t>BSBITU213</w:t>
      </w:r>
      <w:r w:rsidRPr="00594517">
        <w:rPr>
          <w:rFonts w:asciiTheme="minorHAnsi" w:hAnsiTheme="minorHAnsi" w:cstheme="minorHAnsi"/>
          <w:spacing w:val="-3"/>
          <w:sz w:val="22"/>
          <w:szCs w:val="22"/>
          <w:lang w:val="en-US"/>
        </w:rPr>
        <w:tab/>
        <w:t>Use digital technologies to communicate remotely</w:t>
      </w:r>
    </w:p>
    <w:p w:rsidR="00594517" w:rsidRPr="00594517" w:rsidRDefault="00F24316" w:rsidP="00594517">
      <w:pPr>
        <w:pStyle w:val="Document1"/>
        <w:keepNext w:val="0"/>
        <w:keepLines w:val="0"/>
        <w:tabs>
          <w:tab w:val="clear" w:pos="-720"/>
          <w:tab w:val="left" w:pos="1472"/>
        </w:tabs>
        <w:spacing w:line="360" w:lineRule="auto"/>
        <w:rPr>
          <w:rFonts w:asciiTheme="minorHAnsi" w:hAnsiTheme="minorHAnsi" w:cstheme="minorHAnsi"/>
          <w:spacing w:val="-3"/>
          <w:sz w:val="22"/>
          <w:szCs w:val="22"/>
          <w:lang w:val="en-AU"/>
        </w:rPr>
      </w:pPr>
      <w:r>
        <w:rPr>
          <w:rFonts w:asciiTheme="minorHAnsi" w:hAnsiTheme="minorHAnsi" w:cstheme="minorHAnsi"/>
          <w:spacing w:val="-3"/>
          <w:sz w:val="22"/>
          <w:szCs w:val="22"/>
          <w:lang w:val="en-AU"/>
        </w:rPr>
        <w:t>BSBITU211</w:t>
      </w:r>
      <w:r w:rsidR="00594517" w:rsidRPr="00594517">
        <w:rPr>
          <w:rFonts w:asciiTheme="minorHAnsi" w:hAnsiTheme="minorHAnsi" w:cstheme="minorHAnsi"/>
          <w:spacing w:val="-3"/>
          <w:sz w:val="22"/>
          <w:szCs w:val="22"/>
          <w:lang w:val="en-AU"/>
        </w:rPr>
        <w:t xml:space="preserve"> </w:t>
      </w:r>
      <w:r w:rsidR="00594517" w:rsidRPr="00594517">
        <w:rPr>
          <w:rFonts w:asciiTheme="minorHAnsi" w:hAnsiTheme="minorHAnsi" w:cstheme="minorHAnsi"/>
          <w:spacing w:val="-3"/>
          <w:sz w:val="22"/>
          <w:szCs w:val="22"/>
          <w:lang w:val="en-AU"/>
        </w:rPr>
        <w:tab/>
        <w:t>Produce digital text documents</w:t>
      </w:r>
    </w:p>
    <w:p w:rsidR="00594517" w:rsidRPr="00594517" w:rsidRDefault="00594517" w:rsidP="00594517">
      <w:pPr>
        <w:tabs>
          <w:tab w:val="left" w:pos="1472"/>
        </w:tabs>
        <w:suppressAutoHyphens/>
        <w:spacing w:line="360" w:lineRule="auto"/>
        <w:ind w:right="-75"/>
        <w:rPr>
          <w:rFonts w:asciiTheme="minorHAnsi" w:hAnsiTheme="minorHAnsi" w:cstheme="minorHAnsi"/>
          <w:spacing w:val="-3"/>
          <w:sz w:val="22"/>
          <w:szCs w:val="22"/>
          <w:lang w:val="en-US"/>
        </w:rPr>
      </w:pPr>
      <w:r w:rsidRPr="00594517">
        <w:rPr>
          <w:rFonts w:asciiTheme="minorHAnsi" w:hAnsiTheme="minorHAnsi" w:cstheme="minorHAnsi"/>
          <w:spacing w:val="-3"/>
          <w:sz w:val="22"/>
          <w:szCs w:val="22"/>
          <w:lang w:val="en-US"/>
        </w:rPr>
        <w:t>BSBWOR203</w:t>
      </w:r>
      <w:r w:rsidRPr="00594517">
        <w:rPr>
          <w:rFonts w:asciiTheme="minorHAnsi" w:hAnsiTheme="minorHAnsi" w:cstheme="minorHAnsi"/>
          <w:spacing w:val="-3"/>
          <w:sz w:val="22"/>
          <w:szCs w:val="22"/>
          <w:lang w:val="en-US"/>
        </w:rPr>
        <w:tab/>
        <w:t>Work effectively with others</w:t>
      </w:r>
    </w:p>
    <w:p w:rsidR="00594517" w:rsidRPr="00594517" w:rsidRDefault="00594517" w:rsidP="00594517">
      <w:pPr>
        <w:pStyle w:val="Document1"/>
        <w:keepNext w:val="0"/>
        <w:keepLines w:val="0"/>
        <w:tabs>
          <w:tab w:val="clear" w:pos="-720"/>
          <w:tab w:val="left" w:pos="1472"/>
        </w:tabs>
        <w:spacing w:line="360" w:lineRule="auto"/>
        <w:rPr>
          <w:rFonts w:asciiTheme="minorHAnsi" w:hAnsiTheme="minorHAnsi" w:cstheme="minorHAnsi"/>
          <w:spacing w:val="-3"/>
          <w:sz w:val="22"/>
          <w:szCs w:val="22"/>
        </w:rPr>
      </w:pPr>
      <w:r w:rsidRPr="00594517">
        <w:rPr>
          <w:rFonts w:asciiTheme="minorHAnsi" w:hAnsiTheme="minorHAnsi" w:cstheme="minorHAnsi"/>
          <w:spacing w:val="-3"/>
          <w:sz w:val="22"/>
          <w:szCs w:val="22"/>
          <w:lang w:val="en-AU"/>
        </w:rPr>
        <w:t xml:space="preserve">BSBWOR204 </w:t>
      </w:r>
      <w:r w:rsidRPr="00594517">
        <w:rPr>
          <w:rFonts w:asciiTheme="minorHAnsi" w:hAnsiTheme="minorHAnsi" w:cstheme="minorHAnsi"/>
          <w:spacing w:val="-3"/>
          <w:sz w:val="22"/>
          <w:szCs w:val="22"/>
          <w:lang w:val="en-AU"/>
        </w:rPr>
        <w:tab/>
      </w:r>
      <w:r w:rsidRPr="00594517">
        <w:rPr>
          <w:rFonts w:asciiTheme="minorHAnsi" w:hAnsiTheme="minorHAnsi" w:cstheme="minorHAnsi"/>
          <w:spacing w:val="-3"/>
          <w:sz w:val="22"/>
          <w:szCs w:val="22"/>
        </w:rPr>
        <w:t>Use business technology</w:t>
      </w:r>
    </w:p>
    <w:p w:rsidR="00594517" w:rsidRPr="00594517" w:rsidRDefault="00F24316" w:rsidP="00594517">
      <w:pPr>
        <w:tabs>
          <w:tab w:val="left" w:pos="-720"/>
          <w:tab w:val="left" w:pos="1472"/>
        </w:tabs>
        <w:suppressAutoHyphens/>
        <w:spacing w:line="360" w:lineRule="auto"/>
        <w:rPr>
          <w:rFonts w:asciiTheme="minorHAnsi" w:hAnsiTheme="minorHAnsi" w:cstheme="minorHAnsi"/>
          <w:spacing w:val="-3"/>
          <w:sz w:val="22"/>
          <w:szCs w:val="22"/>
          <w:lang w:val="en-US"/>
        </w:rPr>
      </w:pPr>
      <w:r>
        <w:rPr>
          <w:rFonts w:asciiTheme="minorHAnsi" w:hAnsiTheme="minorHAnsi" w:cstheme="minorHAnsi"/>
          <w:spacing w:val="-3"/>
          <w:sz w:val="22"/>
          <w:szCs w:val="22"/>
        </w:rPr>
        <w:t>BSBITU21</w:t>
      </w:r>
      <w:r w:rsidR="00594517" w:rsidRPr="00594517">
        <w:rPr>
          <w:rFonts w:asciiTheme="minorHAnsi" w:hAnsiTheme="minorHAnsi" w:cstheme="minorHAnsi"/>
          <w:spacing w:val="-3"/>
          <w:sz w:val="22"/>
          <w:szCs w:val="22"/>
        </w:rPr>
        <w:t>2</w:t>
      </w:r>
      <w:r w:rsidR="00594517" w:rsidRPr="00594517">
        <w:rPr>
          <w:rFonts w:asciiTheme="minorHAnsi" w:hAnsiTheme="minorHAnsi" w:cstheme="minorHAnsi"/>
          <w:spacing w:val="-3"/>
          <w:sz w:val="22"/>
          <w:szCs w:val="22"/>
        </w:rPr>
        <w:tab/>
        <w:t>Create and use spreadsheets</w:t>
      </w:r>
      <w:r w:rsidR="00594517" w:rsidRPr="00594517">
        <w:rPr>
          <w:rFonts w:asciiTheme="minorHAnsi" w:hAnsiTheme="minorHAnsi" w:cstheme="minorHAnsi"/>
          <w:spacing w:val="-3"/>
          <w:sz w:val="22"/>
          <w:szCs w:val="22"/>
          <w:lang w:val="en-US"/>
        </w:rPr>
        <w:t xml:space="preserve"> </w:t>
      </w:r>
    </w:p>
    <w:p w:rsidR="00594517" w:rsidRPr="00594517" w:rsidRDefault="00594517" w:rsidP="00594517">
      <w:pPr>
        <w:tabs>
          <w:tab w:val="left" w:pos="-720"/>
          <w:tab w:val="left" w:pos="1472"/>
        </w:tabs>
        <w:suppressAutoHyphens/>
        <w:spacing w:line="360" w:lineRule="auto"/>
        <w:rPr>
          <w:rFonts w:asciiTheme="minorHAnsi" w:hAnsiTheme="minorHAnsi" w:cstheme="minorHAnsi"/>
          <w:spacing w:val="-3"/>
          <w:sz w:val="22"/>
          <w:szCs w:val="22"/>
        </w:rPr>
      </w:pPr>
      <w:r w:rsidRPr="00594517">
        <w:rPr>
          <w:rFonts w:asciiTheme="minorHAnsi" w:hAnsiTheme="minorHAnsi" w:cstheme="minorHAnsi"/>
          <w:spacing w:val="-3"/>
          <w:sz w:val="22"/>
          <w:szCs w:val="22"/>
          <w:lang w:val="en-US"/>
        </w:rPr>
        <w:t>BSBWOR202</w:t>
      </w:r>
      <w:r w:rsidRPr="00594517">
        <w:rPr>
          <w:rFonts w:asciiTheme="minorHAnsi" w:hAnsiTheme="minorHAnsi" w:cstheme="minorHAnsi"/>
          <w:spacing w:val="-3"/>
          <w:sz w:val="22"/>
          <w:szCs w:val="22"/>
          <w:lang w:val="en-US"/>
        </w:rPr>
        <w:tab/>
      </w:r>
      <w:r w:rsidRPr="00594517">
        <w:rPr>
          <w:rFonts w:asciiTheme="minorHAnsi" w:hAnsiTheme="minorHAnsi" w:cstheme="minorHAnsi"/>
          <w:spacing w:val="-3"/>
          <w:sz w:val="22"/>
          <w:szCs w:val="22"/>
        </w:rPr>
        <w:t>Organise and complete daily work activities</w:t>
      </w:r>
    </w:p>
    <w:p w:rsidR="00594517" w:rsidRPr="00594517" w:rsidRDefault="00594517" w:rsidP="00594517">
      <w:pPr>
        <w:pStyle w:val="Document1"/>
        <w:keepNext w:val="0"/>
        <w:keepLines w:val="0"/>
        <w:tabs>
          <w:tab w:val="clear" w:pos="-720"/>
          <w:tab w:val="left" w:pos="1472"/>
        </w:tabs>
        <w:spacing w:line="360" w:lineRule="auto"/>
        <w:rPr>
          <w:rFonts w:asciiTheme="minorHAnsi" w:hAnsiTheme="minorHAnsi" w:cstheme="minorHAnsi"/>
          <w:spacing w:val="-3"/>
          <w:sz w:val="22"/>
          <w:szCs w:val="22"/>
        </w:rPr>
      </w:pPr>
      <w:r w:rsidRPr="00594517">
        <w:rPr>
          <w:rFonts w:asciiTheme="minorHAnsi" w:hAnsiTheme="minorHAnsi" w:cstheme="minorHAnsi"/>
          <w:spacing w:val="-3"/>
          <w:sz w:val="22"/>
          <w:szCs w:val="22"/>
        </w:rPr>
        <w:t>BSBCMM201</w:t>
      </w:r>
      <w:r w:rsidRPr="00594517">
        <w:rPr>
          <w:rFonts w:asciiTheme="minorHAnsi" w:hAnsiTheme="minorHAnsi" w:cstheme="minorHAnsi"/>
          <w:spacing w:val="-3"/>
          <w:sz w:val="22"/>
          <w:szCs w:val="22"/>
        </w:rPr>
        <w:tab/>
        <w:t>Communicate in the workplace</w:t>
      </w:r>
    </w:p>
    <w:p w:rsidR="00594517" w:rsidRPr="00594517" w:rsidRDefault="00594517" w:rsidP="00594517">
      <w:pPr>
        <w:tabs>
          <w:tab w:val="left" w:pos="-720"/>
          <w:tab w:val="left" w:pos="1472"/>
        </w:tabs>
        <w:suppressAutoHyphens/>
        <w:spacing w:line="360" w:lineRule="auto"/>
        <w:rPr>
          <w:rFonts w:asciiTheme="minorHAnsi" w:hAnsiTheme="minorHAnsi" w:cstheme="minorHAnsi"/>
          <w:spacing w:val="-3"/>
          <w:sz w:val="22"/>
          <w:szCs w:val="22"/>
          <w:lang w:val="en-US"/>
        </w:rPr>
      </w:pPr>
      <w:r w:rsidRPr="00594517">
        <w:rPr>
          <w:rFonts w:asciiTheme="minorHAnsi" w:hAnsiTheme="minorHAnsi" w:cstheme="minorHAnsi"/>
          <w:spacing w:val="-3"/>
          <w:sz w:val="22"/>
          <w:szCs w:val="22"/>
          <w:lang w:val="en-US"/>
        </w:rPr>
        <w:t>BSBCUS201</w:t>
      </w:r>
      <w:r w:rsidRPr="00594517">
        <w:rPr>
          <w:rFonts w:asciiTheme="minorHAnsi" w:hAnsiTheme="minorHAnsi" w:cstheme="minorHAnsi"/>
          <w:spacing w:val="-3"/>
          <w:sz w:val="22"/>
          <w:szCs w:val="22"/>
          <w:lang w:val="en-US"/>
        </w:rPr>
        <w:tab/>
        <w:t>Deliver a service to customers</w:t>
      </w:r>
    </w:p>
    <w:p w:rsidR="00594517" w:rsidRPr="00594517" w:rsidRDefault="00594517" w:rsidP="00594517">
      <w:pPr>
        <w:pStyle w:val="Document1"/>
        <w:keepNext w:val="0"/>
        <w:keepLines w:val="0"/>
        <w:tabs>
          <w:tab w:val="clear" w:pos="-720"/>
          <w:tab w:val="left" w:pos="1472"/>
        </w:tabs>
        <w:spacing w:line="360" w:lineRule="auto"/>
        <w:rPr>
          <w:rFonts w:asciiTheme="minorHAnsi" w:hAnsiTheme="minorHAnsi" w:cstheme="minorHAnsi"/>
          <w:spacing w:val="-3"/>
          <w:sz w:val="22"/>
          <w:szCs w:val="22"/>
        </w:rPr>
      </w:pPr>
      <w:r w:rsidRPr="00594517">
        <w:rPr>
          <w:rFonts w:asciiTheme="minorHAnsi" w:hAnsiTheme="minorHAnsi" w:cstheme="minorHAnsi"/>
          <w:spacing w:val="-3"/>
          <w:sz w:val="22"/>
          <w:szCs w:val="22"/>
        </w:rPr>
        <w:t>BSBINM201</w:t>
      </w:r>
      <w:r w:rsidRPr="00594517">
        <w:rPr>
          <w:rFonts w:asciiTheme="minorHAnsi" w:hAnsiTheme="minorHAnsi" w:cstheme="minorHAnsi"/>
          <w:spacing w:val="-3"/>
          <w:sz w:val="22"/>
          <w:szCs w:val="22"/>
        </w:rPr>
        <w:tab/>
        <w:t>Process and maintain workplace information</w:t>
      </w:r>
    </w:p>
    <w:p w:rsidR="00594517" w:rsidRPr="00594517" w:rsidRDefault="00594517" w:rsidP="00594517">
      <w:pPr>
        <w:pStyle w:val="Document1"/>
        <w:keepNext w:val="0"/>
        <w:keepLines w:val="0"/>
        <w:tabs>
          <w:tab w:val="left" w:pos="1472"/>
        </w:tabs>
        <w:spacing w:line="360" w:lineRule="auto"/>
        <w:rPr>
          <w:rFonts w:asciiTheme="minorHAnsi" w:hAnsiTheme="minorHAnsi" w:cstheme="minorHAnsi"/>
          <w:spacing w:val="-3"/>
          <w:sz w:val="22"/>
          <w:szCs w:val="22"/>
          <w:lang w:val="en-AU"/>
        </w:rPr>
      </w:pPr>
      <w:r w:rsidRPr="00594517">
        <w:rPr>
          <w:rFonts w:asciiTheme="minorHAnsi" w:hAnsiTheme="minorHAnsi" w:cstheme="minorHAnsi"/>
          <w:spacing w:val="-3"/>
          <w:sz w:val="22"/>
          <w:szCs w:val="22"/>
          <w:lang w:val="en-AU"/>
        </w:rPr>
        <w:t>BSBITU313</w:t>
      </w:r>
      <w:r w:rsidRPr="00594517">
        <w:rPr>
          <w:rFonts w:asciiTheme="minorHAnsi" w:hAnsiTheme="minorHAnsi" w:cstheme="minorHAnsi"/>
          <w:spacing w:val="-3"/>
          <w:sz w:val="22"/>
          <w:szCs w:val="22"/>
          <w:lang w:val="en-AU"/>
        </w:rPr>
        <w:tab/>
        <w:t>Design and produce digital text documents</w:t>
      </w:r>
    </w:p>
    <w:p w:rsidR="00425207" w:rsidRPr="00594517" w:rsidRDefault="00425207" w:rsidP="00425207">
      <w:pPr>
        <w:spacing w:after="4" w:line="259" w:lineRule="auto"/>
        <w:rPr>
          <w:sz w:val="22"/>
          <w:szCs w:val="22"/>
          <w:lang w:val="en-US"/>
        </w:rPr>
      </w:pPr>
    </w:p>
    <w:p w:rsidR="001C472B" w:rsidRPr="005A1B78" w:rsidRDefault="001C472B">
      <w:r w:rsidRPr="005A1B78">
        <w:br w:type="page"/>
      </w:r>
    </w:p>
    <w:p w:rsidR="00425207" w:rsidRDefault="00425207" w:rsidP="00425207">
      <w:pPr>
        <w:spacing w:after="124" w:line="259" w:lineRule="auto"/>
        <w:ind w:left="-5"/>
      </w:pPr>
      <w:r>
        <w:rPr>
          <w:b/>
        </w:rPr>
        <w:t>COURSE OUTLINE:</w:t>
      </w:r>
      <w:r>
        <w:t xml:space="preserve">  </w:t>
      </w:r>
    </w:p>
    <w:p w:rsidR="00425207" w:rsidRDefault="00425207" w:rsidP="00425207">
      <w:pPr>
        <w:spacing w:after="121"/>
        <w:ind w:left="-5" w:right="46"/>
      </w:pPr>
      <w:r>
        <w:t>This qualification reflects the role of individuals who perform a range of mainly routine tasks using limited practical skills and fundamental operational knowledge in a defined context, working under direct supervision in the business area.  Students will be able to gain employment in areas such administration, business, reception.</w:t>
      </w:r>
      <w:r>
        <w:rPr>
          <w:b/>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4"/>
        <w:gridCol w:w="4618"/>
      </w:tblGrid>
      <w:tr w:rsidR="00594517" w:rsidRPr="00CA576E" w:rsidTr="00594517">
        <w:trPr>
          <w:trHeight w:val="360"/>
        </w:trPr>
        <w:tc>
          <w:tcPr>
            <w:tcW w:w="4454" w:type="dxa"/>
            <w:shd w:val="pct30" w:color="auto" w:fill="FFFFFF"/>
            <w:vAlign w:val="center"/>
            <w:hideMark/>
          </w:tcPr>
          <w:p w:rsidR="00594517" w:rsidRPr="00CA576E" w:rsidRDefault="00425207" w:rsidP="005125CA">
            <w:pPr>
              <w:pStyle w:val="Document1"/>
              <w:keepNext w:val="0"/>
              <w:keepLines w:val="0"/>
              <w:tabs>
                <w:tab w:val="left" w:pos="567"/>
              </w:tabs>
              <w:ind w:left="284"/>
              <w:jc w:val="center"/>
              <w:rPr>
                <w:rFonts w:ascii="Calibri" w:hAnsi="Calibri" w:cs="Calibri"/>
                <w:b/>
                <w:spacing w:val="-3"/>
                <w:lang w:val="en-AU"/>
              </w:rPr>
            </w:pPr>
            <w:r>
              <w:t xml:space="preserve"> </w:t>
            </w:r>
            <w:r w:rsidR="00594517" w:rsidRPr="00CA576E">
              <w:rPr>
                <w:rFonts w:ascii="Calibri" w:hAnsi="Calibri" w:cs="Calibri"/>
                <w:b/>
                <w:spacing w:val="-3"/>
                <w:sz w:val="22"/>
                <w:lang w:val="en-AU"/>
              </w:rPr>
              <w:t>Semester 1</w:t>
            </w:r>
          </w:p>
        </w:tc>
        <w:tc>
          <w:tcPr>
            <w:tcW w:w="4618" w:type="dxa"/>
            <w:shd w:val="pct30" w:color="auto" w:fill="FFFFFF"/>
            <w:vAlign w:val="center"/>
            <w:hideMark/>
          </w:tcPr>
          <w:p w:rsidR="00594517" w:rsidRPr="00CA576E" w:rsidRDefault="00594517" w:rsidP="005125CA">
            <w:pPr>
              <w:pStyle w:val="Document1"/>
              <w:keepNext w:val="0"/>
              <w:keepLines w:val="0"/>
              <w:ind w:left="318"/>
              <w:jc w:val="center"/>
              <w:rPr>
                <w:rFonts w:ascii="Calibri" w:hAnsi="Calibri" w:cs="Calibri"/>
                <w:b/>
                <w:spacing w:val="-3"/>
                <w:u w:val="single"/>
                <w:lang w:val="en-AU"/>
              </w:rPr>
            </w:pPr>
            <w:r w:rsidRPr="00CA576E">
              <w:rPr>
                <w:rFonts w:ascii="Calibri" w:hAnsi="Calibri" w:cs="Calibri"/>
                <w:b/>
                <w:spacing w:val="-3"/>
                <w:sz w:val="22"/>
                <w:lang w:val="en-AU"/>
              </w:rPr>
              <w:t>Semester 2</w:t>
            </w:r>
          </w:p>
        </w:tc>
      </w:tr>
      <w:tr w:rsidR="00594517" w:rsidRPr="00CA576E" w:rsidTr="00594517">
        <w:trPr>
          <w:trHeight w:val="360"/>
        </w:trPr>
        <w:tc>
          <w:tcPr>
            <w:tcW w:w="4454" w:type="dxa"/>
          </w:tcPr>
          <w:p w:rsidR="00594517" w:rsidRPr="00594517" w:rsidRDefault="00594517" w:rsidP="005125CA">
            <w:pPr>
              <w:pStyle w:val="Document1"/>
              <w:keepNext w:val="0"/>
              <w:keepLines w:val="0"/>
              <w:tabs>
                <w:tab w:val="left" w:pos="284"/>
                <w:tab w:val="left" w:pos="567"/>
              </w:tabs>
              <w:rPr>
                <w:rFonts w:ascii="Calibri" w:hAnsi="Calibri" w:cs="Calibri"/>
                <w:spacing w:val="-3"/>
                <w:sz w:val="20"/>
                <w:lang w:val="en-AU"/>
              </w:rPr>
            </w:pPr>
          </w:p>
          <w:p w:rsidR="00594517" w:rsidRPr="00594517" w:rsidRDefault="00594517" w:rsidP="005125CA">
            <w:pPr>
              <w:tabs>
                <w:tab w:val="left" w:pos="-720"/>
                <w:tab w:val="left" w:pos="340"/>
                <w:tab w:val="left" w:pos="1472"/>
              </w:tabs>
              <w:suppressAutoHyphens/>
              <w:ind w:left="360" w:hanging="305"/>
              <w:rPr>
                <w:rFonts w:asciiTheme="majorHAnsi" w:hAnsiTheme="majorHAnsi" w:cstheme="majorHAnsi"/>
                <w:spacing w:val="-3"/>
                <w:sz w:val="20"/>
                <w:szCs w:val="20"/>
                <w:lang w:val="en-US"/>
              </w:rPr>
            </w:pPr>
            <w:r w:rsidRPr="00594517">
              <w:rPr>
                <w:rFonts w:asciiTheme="majorHAnsi" w:hAnsiTheme="majorHAnsi" w:cstheme="majorHAnsi"/>
                <w:spacing w:val="-3"/>
                <w:sz w:val="20"/>
                <w:szCs w:val="20"/>
                <w:lang w:val="en-US"/>
              </w:rPr>
              <w:t>BSBIND201</w:t>
            </w:r>
            <w:r w:rsidRPr="00594517">
              <w:rPr>
                <w:rFonts w:asciiTheme="majorHAnsi" w:hAnsiTheme="majorHAnsi" w:cstheme="majorHAnsi"/>
                <w:spacing w:val="-3"/>
                <w:sz w:val="20"/>
                <w:szCs w:val="20"/>
                <w:lang w:val="en-US"/>
              </w:rPr>
              <w:tab/>
              <w:t xml:space="preserve">Work effectively in a business </w:t>
            </w:r>
            <w:r w:rsidRPr="00594517">
              <w:rPr>
                <w:rFonts w:asciiTheme="majorHAnsi" w:hAnsiTheme="majorHAnsi" w:cstheme="majorHAnsi"/>
                <w:spacing w:val="-3"/>
                <w:sz w:val="20"/>
                <w:szCs w:val="20"/>
                <w:lang w:val="en-US"/>
              </w:rPr>
              <w:tab/>
              <w:t>environment</w:t>
            </w:r>
          </w:p>
          <w:p w:rsidR="00594517" w:rsidRPr="00594517" w:rsidRDefault="00594517" w:rsidP="005125CA">
            <w:pPr>
              <w:tabs>
                <w:tab w:val="left" w:pos="1472"/>
              </w:tabs>
              <w:suppressAutoHyphens/>
              <w:ind w:left="55" w:right="-75"/>
              <w:rPr>
                <w:rFonts w:asciiTheme="majorHAnsi" w:hAnsiTheme="majorHAnsi" w:cstheme="majorHAnsi"/>
                <w:spacing w:val="-3"/>
                <w:sz w:val="20"/>
                <w:szCs w:val="20"/>
                <w:lang w:val="en-US"/>
              </w:rPr>
            </w:pPr>
            <w:r w:rsidRPr="00594517">
              <w:rPr>
                <w:rFonts w:asciiTheme="majorHAnsi" w:hAnsiTheme="majorHAnsi" w:cstheme="majorHAnsi"/>
                <w:spacing w:val="-3"/>
                <w:sz w:val="20"/>
                <w:szCs w:val="20"/>
                <w:lang w:val="en-US"/>
              </w:rPr>
              <w:t>BSBWHS201</w:t>
            </w:r>
            <w:r w:rsidRPr="00594517">
              <w:rPr>
                <w:rFonts w:asciiTheme="majorHAnsi" w:hAnsiTheme="majorHAnsi" w:cstheme="majorHAnsi"/>
                <w:spacing w:val="-3"/>
                <w:sz w:val="20"/>
                <w:szCs w:val="20"/>
                <w:lang w:val="en-US"/>
              </w:rPr>
              <w:tab/>
              <w:t xml:space="preserve">Contribute to the health and </w:t>
            </w:r>
            <w:r w:rsidRPr="00594517">
              <w:rPr>
                <w:rFonts w:asciiTheme="majorHAnsi" w:hAnsiTheme="majorHAnsi" w:cstheme="majorHAnsi"/>
                <w:spacing w:val="-3"/>
                <w:sz w:val="20"/>
                <w:szCs w:val="20"/>
                <w:lang w:val="en-US"/>
              </w:rPr>
              <w:tab/>
              <w:t>safety of self and others</w:t>
            </w:r>
          </w:p>
          <w:p w:rsidR="00594517" w:rsidRPr="00594517" w:rsidRDefault="00594517" w:rsidP="005125CA">
            <w:pPr>
              <w:pStyle w:val="Document1"/>
              <w:keepNext w:val="0"/>
              <w:keepLines w:val="0"/>
              <w:tabs>
                <w:tab w:val="clear" w:pos="-720"/>
                <w:tab w:val="left" w:pos="1472"/>
              </w:tabs>
              <w:ind w:left="55"/>
              <w:rPr>
                <w:rFonts w:cs="Calibri"/>
                <w:sz w:val="20"/>
                <w:lang w:eastAsia="en-US"/>
              </w:rPr>
            </w:pPr>
          </w:p>
        </w:tc>
        <w:tc>
          <w:tcPr>
            <w:tcW w:w="4618" w:type="dxa"/>
          </w:tcPr>
          <w:p w:rsidR="00594517" w:rsidRPr="00594517" w:rsidRDefault="00594517" w:rsidP="005125CA">
            <w:pPr>
              <w:pStyle w:val="Document1"/>
              <w:keepNext w:val="0"/>
              <w:keepLines w:val="0"/>
              <w:rPr>
                <w:rFonts w:ascii="Calibri" w:hAnsi="Calibri" w:cs="Calibri"/>
                <w:spacing w:val="-3"/>
                <w:sz w:val="20"/>
                <w:lang w:val="en-AU"/>
              </w:rPr>
            </w:pPr>
          </w:p>
          <w:p w:rsidR="00594517" w:rsidRPr="00594517" w:rsidRDefault="00594517" w:rsidP="005125CA">
            <w:pPr>
              <w:tabs>
                <w:tab w:val="left" w:pos="1472"/>
              </w:tabs>
              <w:suppressAutoHyphens/>
              <w:ind w:left="55" w:right="-75"/>
              <w:rPr>
                <w:rFonts w:asciiTheme="majorHAnsi" w:hAnsiTheme="majorHAnsi" w:cstheme="majorHAnsi"/>
                <w:spacing w:val="-3"/>
                <w:sz w:val="20"/>
                <w:szCs w:val="20"/>
                <w:lang w:val="en-US"/>
              </w:rPr>
            </w:pPr>
            <w:r w:rsidRPr="00594517">
              <w:rPr>
                <w:rFonts w:asciiTheme="majorHAnsi" w:hAnsiTheme="majorHAnsi" w:cstheme="majorHAnsi"/>
                <w:spacing w:val="-3"/>
                <w:sz w:val="20"/>
                <w:szCs w:val="20"/>
                <w:lang w:val="en-US"/>
              </w:rPr>
              <w:t>BSBITU213</w:t>
            </w:r>
            <w:r w:rsidRPr="00594517">
              <w:rPr>
                <w:rFonts w:asciiTheme="majorHAnsi" w:hAnsiTheme="majorHAnsi" w:cstheme="majorHAnsi"/>
                <w:spacing w:val="-3"/>
                <w:sz w:val="20"/>
                <w:szCs w:val="20"/>
                <w:lang w:val="en-US"/>
              </w:rPr>
              <w:tab/>
              <w:t xml:space="preserve">Use digital technologies to </w:t>
            </w:r>
            <w:r w:rsidRPr="00594517">
              <w:rPr>
                <w:rFonts w:asciiTheme="majorHAnsi" w:hAnsiTheme="majorHAnsi" w:cstheme="majorHAnsi"/>
                <w:spacing w:val="-3"/>
                <w:sz w:val="20"/>
                <w:szCs w:val="20"/>
                <w:lang w:val="en-US"/>
              </w:rPr>
              <w:tab/>
              <w:t>communicate remotely</w:t>
            </w:r>
          </w:p>
          <w:p w:rsidR="00594517" w:rsidRPr="00594517" w:rsidRDefault="00F24316" w:rsidP="005125CA">
            <w:pPr>
              <w:pStyle w:val="Document1"/>
              <w:keepNext w:val="0"/>
              <w:keepLines w:val="0"/>
              <w:tabs>
                <w:tab w:val="clear" w:pos="-720"/>
                <w:tab w:val="left" w:pos="1472"/>
              </w:tabs>
              <w:ind w:left="55"/>
              <w:rPr>
                <w:rFonts w:asciiTheme="majorHAnsi" w:hAnsiTheme="majorHAnsi" w:cstheme="majorHAnsi"/>
                <w:spacing w:val="-3"/>
                <w:sz w:val="20"/>
                <w:lang w:val="en-AU"/>
              </w:rPr>
            </w:pPr>
            <w:r>
              <w:rPr>
                <w:rFonts w:asciiTheme="majorHAnsi" w:hAnsiTheme="majorHAnsi" w:cstheme="majorHAnsi"/>
                <w:spacing w:val="-3"/>
                <w:sz w:val="20"/>
                <w:lang w:val="en-AU"/>
              </w:rPr>
              <w:t>BSBITU21</w:t>
            </w:r>
            <w:r w:rsidR="00594517" w:rsidRPr="00594517">
              <w:rPr>
                <w:rFonts w:asciiTheme="majorHAnsi" w:hAnsiTheme="majorHAnsi" w:cstheme="majorHAnsi"/>
                <w:spacing w:val="-3"/>
                <w:sz w:val="20"/>
                <w:lang w:val="en-AU"/>
              </w:rPr>
              <w:t xml:space="preserve">1 </w:t>
            </w:r>
            <w:r w:rsidR="00594517" w:rsidRPr="00594517">
              <w:rPr>
                <w:rFonts w:asciiTheme="majorHAnsi" w:hAnsiTheme="majorHAnsi" w:cstheme="majorHAnsi"/>
                <w:spacing w:val="-3"/>
                <w:sz w:val="20"/>
                <w:lang w:val="en-AU"/>
              </w:rPr>
              <w:tab/>
              <w:t>Produce digital text documents</w:t>
            </w:r>
          </w:p>
          <w:p w:rsidR="00594517" w:rsidRPr="00594517" w:rsidRDefault="00594517" w:rsidP="005125CA">
            <w:pPr>
              <w:tabs>
                <w:tab w:val="left" w:pos="1472"/>
              </w:tabs>
              <w:suppressAutoHyphens/>
              <w:ind w:left="55" w:right="-75"/>
              <w:rPr>
                <w:rFonts w:asciiTheme="majorHAnsi" w:hAnsiTheme="majorHAnsi" w:cstheme="majorHAnsi"/>
                <w:spacing w:val="-3"/>
                <w:sz w:val="20"/>
                <w:szCs w:val="20"/>
                <w:lang w:val="en-US"/>
              </w:rPr>
            </w:pPr>
            <w:r w:rsidRPr="00594517">
              <w:rPr>
                <w:rFonts w:asciiTheme="majorHAnsi" w:hAnsiTheme="majorHAnsi" w:cstheme="majorHAnsi"/>
                <w:spacing w:val="-3"/>
                <w:sz w:val="20"/>
                <w:szCs w:val="20"/>
                <w:lang w:val="en-US"/>
              </w:rPr>
              <w:t>BSBWOR203</w:t>
            </w:r>
            <w:r w:rsidRPr="00594517">
              <w:rPr>
                <w:rFonts w:asciiTheme="majorHAnsi" w:hAnsiTheme="majorHAnsi" w:cstheme="majorHAnsi"/>
                <w:spacing w:val="-3"/>
                <w:sz w:val="20"/>
                <w:szCs w:val="20"/>
                <w:lang w:val="en-US"/>
              </w:rPr>
              <w:tab/>
              <w:t>Work effectively with others</w:t>
            </w:r>
          </w:p>
          <w:p w:rsidR="00594517" w:rsidRPr="00594517" w:rsidRDefault="00594517" w:rsidP="005125CA">
            <w:pPr>
              <w:tabs>
                <w:tab w:val="left" w:pos="318"/>
              </w:tabs>
              <w:suppressAutoHyphens/>
              <w:ind w:left="360" w:right="-75"/>
              <w:rPr>
                <w:rFonts w:cs="Calibri"/>
                <w:spacing w:val="-3"/>
                <w:sz w:val="20"/>
                <w:szCs w:val="20"/>
              </w:rPr>
            </w:pPr>
          </w:p>
        </w:tc>
      </w:tr>
      <w:tr w:rsidR="00594517" w:rsidRPr="00CA576E" w:rsidTr="00594517">
        <w:trPr>
          <w:trHeight w:val="360"/>
        </w:trPr>
        <w:tc>
          <w:tcPr>
            <w:tcW w:w="4454" w:type="dxa"/>
            <w:shd w:val="pct30" w:color="auto" w:fill="FFFFFF"/>
            <w:vAlign w:val="center"/>
            <w:hideMark/>
          </w:tcPr>
          <w:p w:rsidR="00594517" w:rsidRPr="00594517" w:rsidRDefault="00594517" w:rsidP="005125CA">
            <w:pPr>
              <w:tabs>
                <w:tab w:val="left" w:pos="567"/>
              </w:tabs>
              <w:suppressAutoHyphens/>
              <w:ind w:left="284"/>
              <w:jc w:val="center"/>
              <w:rPr>
                <w:rFonts w:cs="Calibri"/>
                <w:b/>
                <w:spacing w:val="-3"/>
                <w:sz w:val="20"/>
                <w:szCs w:val="20"/>
                <w:lang w:val="en-US"/>
              </w:rPr>
            </w:pPr>
            <w:r w:rsidRPr="00594517">
              <w:rPr>
                <w:rFonts w:cs="Calibri"/>
                <w:b/>
                <w:spacing w:val="-3"/>
                <w:sz w:val="20"/>
                <w:szCs w:val="20"/>
              </w:rPr>
              <w:t>Semester 3</w:t>
            </w:r>
          </w:p>
        </w:tc>
        <w:tc>
          <w:tcPr>
            <w:tcW w:w="4618" w:type="dxa"/>
            <w:shd w:val="pct30" w:color="auto" w:fill="FFFFFF"/>
            <w:vAlign w:val="center"/>
            <w:hideMark/>
          </w:tcPr>
          <w:p w:rsidR="00594517" w:rsidRPr="00594517" w:rsidRDefault="00594517" w:rsidP="005125CA">
            <w:pPr>
              <w:tabs>
                <w:tab w:val="left" w:pos="-720"/>
              </w:tabs>
              <w:suppressAutoHyphens/>
              <w:ind w:left="318"/>
              <w:jc w:val="center"/>
              <w:rPr>
                <w:rFonts w:cs="Calibri"/>
                <w:b/>
                <w:spacing w:val="-3"/>
                <w:sz w:val="20"/>
                <w:szCs w:val="20"/>
                <w:lang w:val="en-US"/>
              </w:rPr>
            </w:pPr>
            <w:r w:rsidRPr="00594517">
              <w:rPr>
                <w:rFonts w:cs="Calibri"/>
                <w:b/>
                <w:spacing w:val="-3"/>
                <w:sz w:val="20"/>
                <w:szCs w:val="20"/>
              </w:rPr>
              <w:t>Semester 4</w:t>
            </w:r>
          </w:p>
        </w:tc>
      </w:tr>
      <w:tr w:rsidR="00594517" w:rsidRPr="00810AF8" w:rsidTr="00594517">
        <w:trPr>
          <w:trHeight w:val="360"/>
        </w:trPr>
        <w:tc>
          <w:tcPr>
            <w:tcW w:w="4454" w:type="dxa"/>
          </w:tcPr>
          <w:p w:rsidR="00594517" w:rsidRPr="00594517" w:rsidRDefault="00594517" w:rsidP="005125CA">
            <w:pPr>
              <w:tabs>
                <w:tab w:val="left" w:pos="1472"/>
              </w:tabs>
              <w:suppressAutoHyphens/>
              <w:ind w:left="55" w:right="-75"/>
              <w:rPr>
                <w:rFonts w:asciiTheme="minorHAnsi" w:hAnsiTheme="minorHAnsi" w:cstheme="minorHAnsi"/>
                <w:spacing w:val="-3"/>
                <w:sz w:val="20"/>
                <w:szCs w:val="20"/>
                <w:lang w:val="en-US"/>
              </w:rPr>
            </w:pPr>
          </w:p>
          <w:p w:rsidR="00594517" w:rsidRPr="00594517" w:rsidRDefault="00594517" w:rsidP="005125CA">
            <w:pPr>
              <w:pStyle w:val="Document1"/>
              <w:keepNext w:val="0"/>
              <w:keepLines w:val="0"/>
              <w:tabs>
                <w:tab w:val="clear" w:pos="-720"/>
                <w:tab w:val="left" w:pos="1472"/>
              </w:tabs>
              <w:ind w:left="55"/>
              <w:rPr>
                <w:rFonts w:asciiTheme="majorHAnsi" w:hAnsiTheme="majorHAnsi" w:cstheme="majorHAnsi"/>
                <w:spacing w:val="-3"/>
                <w:sz w:val="20"/>
              </w:rPr>
            </w:pPr>
            <w:r w:rsidRPr="00594517">
              <w:rPr>
                <w:rFonts w:asciiTheme="majorHAnsi" w:hAnsiTheme="majorHAnsi" w:cstheme="majorHAnsi"/>
                <w:spacing w:val="-3"/>
                <w:sz w:val="20"/>
                <w:lang w:val="en-AU"/>
              </w:rPr>
              <w:t xml:space="preserve">BSBWOR204 </w:t>
            </w:r>
            <w:r w:rsidRPr="00594517">
              <w:rPr>
                <w:rFonts w:asciiTheme="majorHAnsi" w:hAnsiTheme="majorHAnsi" w:cstheme="majorHAnsi"/>
                <w:spacing w:val="-3"/>
                <w:sz w:val="20"/>
                <w:lang w:val="en-AU"/>
              </w:rPr>
              <w:tab/>
            </w:r>
            <w:r w:rsidRPr="00594517">
              <w:rPr>
                <w:rFonts w:asciiTheme="majorHAnsi" w:hAnsiTheme="majorHAnsi" w:cstheme="majorHAnsi"/>
                <w:spacing w:val="-3"/>
                <w:sz w:val="20"/>
              </w:rPr>
              <w:t>Use business technology</w:t>
            </w:r>
          </w:p>
          <w:p w:rsidR="00594517" w:rsidRPr="00594517" w:rsidRDefault="00F24316" w:rsidP="005125CA">
            <w:pPr>
              <w:tabs>
                <w:tab w:val="left" w:pos="-720"/>
                <w:tab w:val="left" w:pos="1472"/>
              </w:tabs>
              <w:suppressAutoHyphens/>
              <w:ind w:left="55"/>
              <w:rPr>
                <w:rFonts w:asciiTheme="majorHAnsi" w:hAnsiTheme="majorHAnsi" w:cstheme="majorHAnsi"/>
                <w:spacing w:val="-3"/>
                <w:sz w:val="20"/>
                <w:szCs w:val="20"/>
              </w:rPr>
            </w:pPr>
            <w:r>
              <w:rPr>
                <w:rFonts w:asciiTheme="majorHAnsi" w:hAnsiTheme="majorHAnsi" w:cstheme="majorHAnsi"/>
                <w:spacing w:val="-3"/>
                <w:sz w:val="20"/>
                <w:szCs w:val="20"/>
              </w:rPr>
              <w:t>BSBITU21</w:t>
            </w:r>
            <w:r w:rsidR="00594517" w:rsidRPr="00594517">
              <w:rPr>
                <w:rFonts w:asciiTheme="majorHAnsi" w:hAnsiTheme="majorHAnsi" w:cstheme="majorHAnsi"/>
                <w:spacing w:val="-3"/>
                <w:sz w:val="20"/>
                <w:szCs w:val="20"/>
              </w:rPr>
              <w:t>2</w:t>
            </w:r>
            <w:r w:rsidR="00594517" w:rsidRPr="00594517">
              <w:rPr>
                <w:rFonts w:asciiTheme="majorHAnsi" w:hAnsiTheme="majorHAnsi" w:cstheme="majorHAnsi"/>
                <w:spacing w:val="-3"/>
                <w:sz w:val="20"/>
                <w:szCs w:val="20"/>
              </w:rPr>
              <w:tab/>
              <w:t>Create and use spreadsheets</w:t>
            </w:r>
            <w:r w:rsidR="00594517" w:rsidRPr="00594517">
              <w:rPr>
                <w:rFonts w:asciiTheme="majorHAnsi" w:hAnsiTheme="majorHAnsi" w:cstheme="majorHAnsi"/>
                <w:spacing w:val="-3"/>
                <w:sz w:val="20"/>
                <w:szCs w:val="20"/>
                <w:lang w:val="en-US"/>
              </w:rPr>
              <w:t xml:space="preserve"> BSBWOR202</w:t>
            </w:r>
            <w:r w:rsidR="00594517" w:rsidRPr="00594517">
              <w:rPr>
                <w:rFonts w:asciiTheme="majorHAnsi" w:hAnsiTheme="majorHAnsi" w:cstheme="majorHAnsi"/>
                <w:spacing w:val="-3"/>
                <w:sz w:val="20"/>
                <w:szCs w:val="20"/>
                <w:lang w:val="en-US"/>
              </w:rPr>
              <w:tab/>
            </w:r>
            <w:r w:rsidR="00594517" w:rsidRPr="00594517">
              <w:rPr>
                <w:rFonts w:asciiTheme="majorHAnsi" w:hAnsiTheme="majorHAnsi" w:cstheme="majorHAnsi"/>
                <w:spacing w:val="-3"/>
                <w:sz w:val="20"/>
                <w:szCs w:val="20"/>
              </w:rPr>
              <w:t xml:space="preserve">Organise and complete daily </w:t>
            </w:r>
            <w:r w:rsidR="00594517" w:rsidRPr="00594517">
              <w:rPr>
                <w:rFonts w:asciiTheme="majorHAnsi" w:hAnsiTheme="majorHAnsi" w:cstheme="majorHAnsi"/>
                <w:spacing w:val="-3"/>
                <w:sz w:val="20"/>
                <w:szCs w:val="20"/>
              </w:rPr>
              <w:tab/>
              <w:t>work activities</w:t>
            </w:r>
          </w:p>
          <w:p w:rsidR="00594517" w:rsidRPr="00594517" w:rsidRDefault="00594517" w:rsidP="00594517">
            <w:pPr>
              <w:pStyle w:val="Document1"/>
              <w:keepNext w:val="0"/>
              <w:keepLines w:val="0"/>
              <w:tabs>
                <w:tab w:val="clear" w:pos="-720"/>
                <w:tab w:val="left" w:pos="1472"/>
              </w:tabs>
              <w:ind w:left="55"/>
              <w:rPr>
                <w:rFonts w:asciiTheme="minorHAnsi" w:hAnsiTheme="minorHAnsi" w:cstheme="minorHAnsi"/>
                <w:spacing w:val="-3"/>
                <w:sz w:val="20"/>
              </w:rPr>
            </w:pPr>
            <w:r w:rsidRPr="00594517">
              <w:rPr>
                <w:rFonts w:asciiTheme="majorHAnsi" w:hAnsiTheme="majorHAnsi" w:cstheme="majorHAnsi"/>
                <w:spacing w:val="-3"/>
                <w:sz w:val="20"/>
              </w:rPr>
              <w:t>BSBCMM201</w:t>
            </w:r>
            <w:r w:rsidRPr="00594517">
              <w:rPr>
                <w:rFonts w:asciiTheme="majorHAnsi" w:hAnsiTheme="majorHAnsi" w:cstheme="majorHAnsi"/>
                <w:spacing w:val="-3"/>
                <w:sz w:val="20"/>
              </w:rPr>
              <w:tab/>
              <w:t xml:space="preserve">Communicate in the </w:t>
            </w:r>
            <w:r w:rsidRPr="00594517">
              <w:rPr>
                <w:rFonts w:asciiTheme="majorHAnsi" w:hAnsiTheme="majorHAnsi" w:cstheme="majorHAnsi"/>
                <w:spacing w:val="-3"/>
                <w:sz w:val="20"/>
              </w:rPr>
              <w:tab/>
              <w:t>workplace</w:t>
            </w:r>
          </w:p>
        </w:tc>
        <w:tc>
          <w:tcPr>
            <w:tcW w:w="4618" w:type="dxa"/>
          </w:tcPr>
          <w:p w:rsidR="00594517" w:rsidRPr="00594517" w:rsidRDefault="00594517" w:rsidP="005125CA">
            <w:pPr>
              <w:pStyle w:val="Document1"/>
              <w:keepNext w:val="0"/>
              <w:keepLines w:val="0"/>
              <w:ind w:left="360"/>
              <w:rPr>
                <w:rFonts w:ascii="Calibri" w:hAnsi="Calibri" w:cs="Calibri"/>
                <w:spacing w:val="-3"/>
                <w:sz w:val="20"/>
                <w:lang w:val="en-AU"/>
              </w:rPr>
            </w:pPr>
          </w:p>
          <w:p w:rsidR="00594517" w:rsidRPr="00594517" w:rsidRDefault="00594517" w:rsidP="005125CA">
            <w:pPr>
              <w:tabs>
                <w:tab w:val="left" w:pos="-720"/>
                <w:tab w:val="left" w:pos="340"/>
              </w:tabs>
              <w:suppressAutoHyphens/>
              <w:ind w:left="1523" w:hanging="1523"/>
              <w:rPr>
                <w:rFonts w:asciiTheme="majorHAnsi" w:hAnsiTheme="majorHAnsi" w:cstheme="majorHAnsi"/>
                <w:spacing w:val="-3"/>
                <w:sz w:val="20"/>
                <w:szCs w:val="20"/>
                <w:lang w:val="en-US"/>
              </w:rPr>
            </w:pPr>
            <w:r w:rsidRPr="00594517">
              <w:rPr>
                <w:rFonts w:asciiTheme="majorHAnsi" w:hAnsiTheme="majorHAnsi" w:cstheme="majorHAnsi"/>
                <w:spacing w:val="-3"/>
                <w:sz w:val="20"/>
                <w:szCs w:val="20"/>
                <w:lang w:val="en-US"/>
              </w:rPr>
              <w:t>BSBCUS201</w:t>
            </w:r>
            <w:r w:rsidRPr="00594517">
              <w:rPr>
                <w:rFonts w:asciiTheme="majorHAnsi" w:hAnsiTheme="majorHAnsi" w:cstheme="majorHAnsi"/>
                <w:spacing w:val="-3"/>
                <w:sz w:val="20"/>
                <w:szCs w:val="20"/>
                <w:lang w:val="en-US"/>
              </w:rPr>
              <w:tab/>
              <w:t>Deliver a service to customers</w:t>
            </w:r>
          </w:p>
          <w:p w:rsidR="00594517" w:rsidRPr="00594517" w:rsidRDefault="00594517" w:rsidP="005125CA">
            <w:pPr>
              <w:pStyle w:val="Document1"/>
              <w:keepNext w:val="0"/>
              <w:keepLines w:val="0"/>
              <w:tabs>
                <w:tab w:val="clear" w:pos="-720"/>
              </w:tabs>
              <w:ind w:left="1523" w:hanging="1523"/>
              <w:rPr>
                <w:rFonts w:asciiTheme="majorHAnsi" w:hAnsiTheme="majorHAnsi" w:cstheme="majorHAnsi"/>
                <w:spacing w:val="-3"/>
                <w:sz w:val="20"/>
              </w:rPr>
            </w:pPr>
            <w:r w:rsidRPr="00594517">
              <w:rPr>
                <w:rFonts w:asciiTheme="majorHAnsi" w:hAnsiTheme="majorHAnsi" w:cstheme="majorHAnsi"/>
                <w:spacing w:val="-3"/>
                <w:sz w:val="20"/>
              </w:rPr>
              <w:t>BSBINM201</w:t>
            </w:r>
            <w:r w:rsidRPr="00594517">
              <w:rPr>
                <w:rFonts w:asciiTheme="majorHAnsi" w:hAnsiTheme="majorHAnsi" w:cstheme="majorHAnsi"/>
                <w:spacing w:val="-3"/>
                <w:sz w:val="20"/>
              </w:rPr>
              <w:tab/>
              <w:t>Process and maintain workplace information</w:t>
            </w:r>
          </w:p>
          <w:p w:rsidR="00594517" w:rsidRPr="00594517" w:rsidRDefault="00594517" w:rsidP="00594517">
            <w:pPr>
              <w:pStyle w:val="Document1"/>
              <w:keepNext w:val="0"/>
              <w:keepLines w:val="0"/>
              <w:ind w:left="1523" w:hanging="1523"/>
              <w:rPr>
                <w:rFonts w:asciiTheme="majorHAnsi" w:hAnsiTheme="majorHAnsi" w:cstheme="majorHAnsi"/>
                <w:spacing w:val="-3"/>
                <w:sz w:val="20"/>
                <w:lang w:val="en-AU"/>
              </w:rPr>
            </w:pPr>
            <w:r w:rsidRPr="00594517">
              <w:rPr>
                <w:rFonts w:asciiTheme="majorHAnsi" w:hAnsiTheme="majorHAnsi" w:cstheme="majorHAnsi"/>
                <w:spacing w:val="-3"/>
                <w:sz w:val="20"/>
                <w:lang w:val="en-AU"/>
              </w:rPr>
              <w:t>BSBITU313</w:t>
            </w:r>
            <w:r w:rsidRPr="00594517">
              <w:rPr>
                <w:rFonts w:asciiTheme="majorHAnsi" w:hAnsiTheme="majorHAnsi" w:cstheme="majorHAnsi"/>
                <w:spacing w:val="-3"/>
                <w:sz w:val="20"/>
                <w:lang w:val="en-AU"/>
              </w:rPr>
              <w:tab/>
              <w:t>Design and produce digital text documents</w:t>
            </w:r>
          </w:p>
          <w:p w:rsidR="00594517" w:rsidRPr="00594517" w:rsidRDefault="00594517" w:rsidP="005125CA">
            <w:pPr>
              <w:ind w:left="360"/>
              <w:rPr>
                <w:rFonts w:cs="Calibri"/>
                <w:spacing w:val="-3"/>
                <w:sz w:val="20"/>
                <w:szCs w:val="20"/>
                <w:lang w:val="en-US"/>
              </w:rPr>
            </w:pPr>
          </w:p>
        </w:tc>
      </w:tr>
    </w:tbl>
    <w:p w:rsidR="00425207" w:rsidRDefault="00425207" w:rsidP="00425207">
      <w:pPr>
        <w:spacing w:line="259" w:lineRule="auto"/>
      </w:pPr>
      <w:r>
        <w:t xml:space="preserve"> </w:t>
      </w:r>
    </w:p>
    <w:p w:rsidR="00425207" w:rsidRDefault="00425207" w:rsidP="00594517">
      <w:pPr>
        <w:spacing w:after="4" w:line="259" w:lineRule="auto"/>
      </w:pPr>
      <w:r>
        <w:t xml:space="preserve"> </w:t>
      </w:r>
      <w:r>
        <w:rPr>
          <w:b/>
        </w:rPr>
        <w:t xml:space="preserve">LEARNING EXPERIENCES:   </w:t>
      </w:r>
      <w:r>
        <w:t xml:space="preserve">A range of teaching and learning strategies will be used to deliver the competencies.  These include: </w:t>
      </w:r>
    </w:p>
    <w:p w:rsidR="00425207" w:rsidRDefault="00425207" w:rsidP="00EF1C54">
      <w:pPr>
        <w:numPr>
          <w:ilvl w:val="0"/>
          <w:numId w:val="34"/>
        </w:numPr>
        <w:spacing w:line="260" w:lineRule="auto"/>
        <w:ind w:right="46" w:hanging="283"/>
      </w:pPr>
      <w:r>
        <w:t xml:space="preserve">Practical tasks </w:t>
      </w:r>
    </w:p>
    <w:p w:rsidR="00425207" w:rsidRDefault="00425207" w:rsidP="00EF1C54">
      <w:pPr>
        <w:numPr>
          <w:ilvl w:val="0"/>
          <w:numId w:val="34"/>
        </w:numPr>
        <w:spacing w:line="260" w:lineRule="auto"/>
        <w:ind w:right="46" w:hanging="283"/>
      </w:pPr>
      <w:r>
        <w:t xml:space="preserve">Group work  </w:t>
      </w:r>
    </w:p>
    <w:p w:rsidR="00425207" w:rsidRDefault="00425207" w:rsidP="00EF1C54">
      <w:pPr>
        <w:numPr>
          <w:ilvl w:val="0"/>
          <w:numId w:val="34"/>
        </w:numPr>
        <w:spacing w:line="260" w:lineRule="auto"/>
        <w:ind w:right="46" w:hanging="283"/>
      </w:pPr>
      <w:r>
        <w:t xml:space="preserve">Activities in simulated work environments </w:t>
      </w:r>
    </w:p>
    <w:p w:rsidR="00425207" w:rsidRDefault="00425207" w:rsidP="00425207">
      <w:pPr>
        <w:spacing w:after="4" w:line="259" w:lineRule="auto"/>
      </w:pPr>
      <w:r>
        <w:rPr>
          <w:b/>
        </w:rPr>
        <w:t xml:space="preserve"> </w:t>
      </w:r>
    </w:p>
    <w:p w:rsidR="00425207" w:rsidRDefault="00425207" w:rsidP="00425207">
      <w:pPr>
        <w:spacing w:after="2"/>
        <w:ind w:left="-5" w:right="46"/>
      </w:pPr>
      <w:r>
        <w:rPr>
          <w:b/>
        </w:rPr>
        <w:t xml:space="preserve">ASSESSMENT:    </w:t>
      </w:r>
      <w:r>
        <w:t xml:space="preserve">Assessment is competency based and therefore no levels of achievement are awarded.  Assessment for this qualification is continuous and units of competency have been clustered into groups and assessed this way.  Assessment includes observation, portfolios, and questioning.   </w:t>
      </w:r>
    </w:p>
    <w:p w:rsidR="00425207" w:rsidRDefault="00425207" w:rsidP="00425207">
      <w:pPr>
        <w:spacing w:after="4" w:line="259" w:lineRule="auto"/>
      </w:pPr>
      <w:r>
        <w:t xml:space="preserve"> </w:t>
      </w:r>
    </w:p>
    <w:p w:rsidR="00425207" w:rsidRDefault="00425207" w:rsidP="00425207">
      <w:pPr>
        <w:spacing w:after="4"/>
        <w:ind w:left="-5" w:right="46"/>
      </w:pPr>
      <w:r>
        <w:rPr>
          <w:b/>
        </w:rPr>
        <w:t>FEEs:</w:t>
      </w:r>
      <w:r>
        <w:t xml:space="preserve">  Nil  </w:t>
      </w:r>
    </w:p>
    <w:p w:rsidR="00425207" w:rsidRDefault="00425207" w:rsidP="00425207">
      <w:pPr>
        <w:spacing w:after="2" w:line="259" w:lineRule="auto"/>
      </w:pPr>
      <w:r>
        <w:t xml:space="preserve"> </w:t>
      </w:r>
    </w:p>
    <w:p w:rsidR="00425207" w:rsidRDefault="00425207" w:rsidP="00425207">
      <w:pPr>
        <w:spacing w:after="2" w:line="259" w:lineRule="auto"/>
        <w:ind w:left="-5"/>
      </w:pPr>
      <w:r>
        <w:rPr>
          <w:b/>
        </w:rPr>
        <w:t>MINIMUM SUGGESTED WEELKY HOMEWORK TIME</w:t>
      </w:r>
      <w:r>
        <w:t xml:space="preserve">: 1 hour </w:t>
      </w:r>
    </w:p>
    <w:p w:rsidR="00425207" w:rsidRDefault="00425207" w:rsidP="00425207">
      <w:pPr>
        <w:spacing w:after="4" w:line="259" w:lineRule="auto"/>
      </w:pPr>
      <w:r>
        <w:t xml:space="preserve"> </w:t>
      </w:r>
    </w:p>
    <w:p w:rsidR="00425207" w:rsidRDefault="00425207" w:rsidP="00425207">
      <w:pPr>
        <w:spacing w:after="3"/>
        <w:ind w:left="-5" w:right="46"/>
      </w:pPr>
      <w:r>
        <w:rPr>
          <w:b/>
        </w:rPr>
        <w:t xml:space="preserve">FURTHER INFORMATION: </w:t>
      </w:r>
      <w:r>
        <w:t xml:space="preserve">  Contact the Business HOD, Mrs Carolyn Young - cyoun85@eq.edu.au. For information regarding support services and other general VET information please contact the VET HOD, Mrs Sally Munns – </w:t>
      </w:r>
      <w:r>
        <w:rPr>
          <w:color w:val="0000FF"/>
        </w:rPr>
        <w:t>smunn6@eq.edu.au</w:t>
      </w:r>
      <w:r>
        <w:t xml:space="preserve">.  Students will be provided with access to a Student VET Handbook. </w:t>
      </w:r>
    </w:p>
    <w:p w:rsidR="00425207" w:rsidRDefault="00425207" w:rsidP="00425207">
      <w:pPr>
        <w:spacing w:after="2" w:line="259" w:lineRule="auto"/>
      </w:pPr>
      <w:r>
        <w:t xml:space="preserve"> </w:t>
      </w:r>
    </w:p>
    <w:p w:rsidR="00425207" w:rsidRDefault="00425207" w:rsidP="00425207">
      <w:pPr>
        <w:spacing w:after="3"/>
        <w:ind w:left="-5" w:right="46"/>
      </w:pPr>
      <w:r>
        <w:rPr>
          <w:b/>
        </w:rPr>
        <w:t>SERVICE AGREEMENT:</w:t>
      </w:r>
      <w:r>
        <w:t xml:space="preserve">   This is a two year course.  The RTO guarantees that the student will be provided with every opportunity to complete the certificate as per the rights and obligations outlined in the enrolment process and information handbooks provided.  If the certificate course is no longer offered through our school, arrangements will be made for the student to complete this through an outside RTO.  Students successfully achieving all qualifications requirements will be provided with a Qualification Certificate and record of results.  Students who achieve at least one unit (but not the full qualification) will receive a Statement of Attainment.  We have a complaints and appeals policy available of the Pioneer SHS website. </w:t>
      </w:r>
    </w:p>
    <w:p w:rsidR="00425207" w:rsidRDefault="00425207" w:rsidP="00425207">
      <w:pPr>
        <w:spacing w:after="2" w:line="259" w:lineRule="auto"/>
      </w:pPr>
      <w:r>
        <w:t xml:space="preserve"> </w:t>
      </w:r>
    </w:p>
    <w:p w:rsidR="00425207" w:rsidRDefault="00425207" w:rsidP="00425207">
      <w:pPr>
        <w:spacing w:after="4"/>
        <w:ind w:left="-5" w:right="46"/>
      </w:pPr>
      <w:r>
        <w:t>Correct at time of publication (</w:t>
      </w:r>
      <w:r w:rsidR="00594517">
        <w:t>8 August 2019</w:t>
      </w:r>
      <w:r>
        <w:t xml:space="preserve">) but subject to change.  </w:t>
      </w:r>
    </w:p>
    <w:p w:rsidR="006C6C31" w:rsidRDefault="007128D0" w:rsidP="006C6C31">
      <w:pPr>
        <w:pStyle w:val="Heading2"/>
      </w:pPr>
      <w:bookmarkStart w:id="340" w:name="_Toc16206744"/>
      <w:r>
        <w:rPr>
          <w:noProof/>
          <w:lang w:eastAsia="zh-TW"/>
        </w:rPr>
        <w:drawing>
          <wp:anchor distT="0" distB="0" distL="114300" distR="114300" simplePos="0" relativeHeight="251661312" behindDoc="1" locked="0" layoutInCell="1" allowOverlap="1">
            <wp:simplePos x="0" y="0"/>
            <wp:positionH relativeFrom="column">
              <wp:posOffset>5173708</wp:posOffset>
            </wp:positionH>
            <wp:positionV relativeFrom="paragraph">
              <wp:posOffset>49439</wp:posOffset>
            </wp:positionV>
            <wp:extent cx="762000" cy="652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0" cy="652145"/>
                    </a:xfrm>
                    <a:prstGeom prst="rect">
                      <a:avLst/>
                    </a:prstGeom>
                    <a:noFill/>
                  </pic:spPr>
                </pic:pic>
              </a:graphicData>
            </a:graphic>
          </wp:anchor>
        </w:drawing>
      </w:r>
      <w:sdt>
        <w:sdtPr>
          <w:alias w:val="Qualification code and title"/>
          <w:tag w:val=""/>
          <w:id w:val="507558177"/>
          <w:placeholder>
            <w:docPart w:val="72DB2D97FA374FEE91A51062617D407C"/>
          </w:placeholder>
          <w:dataBinding w:prefixMappings="xmlns:ns0='http://schemas.microsoft.com/office/2006/coverPageProps' " w:xpath="/ns0:CoverPageProperties[1]/ns0:CompanyAddress[1]" w:storeItemID="{55AF091B-3C7A-41E3-B477-F2FDAA23CFDA}"/>
          <w:text/>
        </w:sdtPr>
        <w:sdtEndPr/>
        <w:sdtContent>
          <w:r w:rsidR="006C6C31">
            <w:t>ICT20115 – CERTIFICATE II IN INFORMATION, COMMUNICATION AND DIGITAL MEDIA</w:t>
          </w:r>
        </w:sdtContent>
      </w:sdt>
      <w:bookmarkEnd w:id="340"/>
    </w:p>
    <w:p w:rsidR="006C6C31" w:rsidRDefault="006C6C31" w:rsidP="00425207">
      <w:pPr>
        <w:tabs>
          <w:tab w:val="center" w:pos="2556"/>
          <w:tab w:val="center" w:pos="2839"/>
          <w:tab w:val="center" w:pos="4229"/>
          <w:tab w:val="center" w:pos="5681"/>
          <w:tab w:val="center" w:pos="7061"/>
        </w:tabs>
        <w:spacing w:after="2" w:line="259" w:lineRule="auto"/>
        <w:ind w:left="-15"/>
        <w:rPr>
          <w:b/>
        </w:rPr>
      </w:pPr>
    </w:p>
    <w:p w:rsidR="00425207" w:rsidRDefault="00425207" w:rsidP="00425207">
      <w:pPr>
        <w:tabs>
          <w:tab w:val="center" w:pos="2556"/>
          <w:tab w:val="center" w:pos="2839"/>
          <w:tab w:val="center" w:pos="4229"/>
          <w:tab w:val="center" w:pos="5681"/>
          <w:tab w:val="center" w:pos="7061"/>
        </w:tabs>
        <w:spacing w:after="2" w:line="259" w:lineRule="auto"/>
        <w:ind w:left="-15"/>
      </w:pPr>
      <w:r>
        <w:rPr>
          <w:b/>
        </w:rPr>
        <w:t>SUBJECT TYPE:</w:t>
      </w:r>
      <w:r>
        <w:t xml:space="preserve"> VET   </w:t>
      </w:r>
      <w:r>
        <w:tab/>
        <w:t xml:space="preserve"> </w:t>
      </w:r>
      <w:r>
        <w:tab/>
        <w:t xml:space="preserve"> </w:t>
      </w:r>
      <w:r>
        <w:tab/>
      </w:r>
      <w:r>
        <w:rPr>
          <w:b/>
        </w:rPr>
        <w:t>DURATION:</w:t>
      </w:r>
      <w:r>
        <w:t xml:space="preserve">  Two years  </w:t>
      </w:r>
      <w:r>
        <w:tab/>
        <w:t xml:space="preserve"> </w:t>
      </w:r>
      <w:r>
        <w:tab/>
      </w:r>
      <w:r>
        <w:rPr>
          <w:b/>
        </w:rPr>
        <w:t xml:space="preserve">4 QCE Points Possible </w:t>
      </w:r>
    </w:p>
    <w:p w:rsidR="00425207" w:rsidRDefault="00425207" w:rsidP="00425207">
      <w:pPr>
        <w:spacing w:after="2" w:line="259" w:lineRule="auto"/>
      </w:pPr>
      <w:r>
        <w:t xml:space="preserve"> </w:t>
      </w:r>
    </w:p>
    <w:p w:rsidR="00425207" w:rsidRDefault="00425207" w:rsidP="00425207">
      <w:pPr>
        <w:spacing w:after="4"/>
        <w:ind w:left="-5" w:right="46"/>
      </w:pPr>
      <w:r>
        <w:rPr>
          <w:b/>
        </w:rPr>
        <w:t xml:space="preserve">ENTRY REQUIREMENTS: </w:t>
      </w:r>
      <w:r>
        <w:t xml:space="preserve">   Nil           </w:t>
      </w:r>
      <w:r>
        <w:rPr>
          <w:b/>
        </w:rPr>
        <w:t>DELIVERED:</w:t>
      </w:r>
      <w:r>
        <w:t xml:space="preserve">  On site at Pioneer SHS </w:t>
      </w:r>
    </w:p>
    <w:p w:rsidR="00425207" w:rsidRDefault="00425207" w:rsidP="00425207">
      <w:pPr>
        <w:spacing w:after="4" w:line="259" w:lineRule="auto"/>
      </w:pPr>
      <w:r>
        <w:t xml:space="preserve"> </w:t>
      </w:r>
    </w:p>
    <w:p w:rsidR="00425207" w:rsidRDefault="00425207" w:rsidP="00425207">
      <w:pPr>
        <w:spacing w:after="4" w:line="259" w:lineRule="auto"/>
      </w:pPr>
      <w:r>
        <w:t xml:space="preserve"> </w:t>
      </w:r>
    </w:p>
    <w:p w:rsidR="00425207" w:rsidRDefault="00425207" w:rsidP="00425207">
      <w:pPr>
        <w:spacing w:after="2" w:line="259" w:lineRule="auto"/>
        <w:ind w:left="-5"/>
      </w:pPr>
      <w:r>
        <w:rPr>
          <w:b/>
        </w:rPr>
        <w:t xml:space="preserve">QUALIFICATION PACKAGING RULES: </w:t>
      </w:r>
      <w:r>
        <w:t xml:space="preserve"> </w:t>
      </w:r>
    </w:p>
    <w:p w:rsidR="00425207" w:rsidRDefault="00425207" w:rsidP="00425207">
      <w:pPr>
        <w:spacing w:after="4" w:line="259" w:lineRule="auto"/>
      </w:pPr>
      <w:r>
        <w:rPr>
          <w:b/>
        </w:rPr>
        <w:t xml:space="preserve"> </w:t>
      </w:r>
    </w:p>
    <w:p w:rsidR="00425207" w:rsidRDefault="00425207" w:rsidP="00425207">
      <w:pPr>
        <w:spacing w:after="4"/>
        <w:ind w:left="-5" w:right="46"/>
      </w:pPr>
      <w:r>
        <w:rPr>
          <w:b/>
        </w:rPr>
        <w:t>Total number of units</w:t>
      </w:r>
      <w:r>
        <w:t xml:space="preserve"> = 14 (7 Core units &amp; 7 elective units)  </w:t>
      </w:r>
    </w:p>
    <w:p w:rsidR="00425207" w:rsidRDefault="00425207" w:rsidP="00425207">
      <w:pPr>
        <w:ind w:left="-5" w:right="46"/>
      </w:pPr>
    </w:p>
    <w:p w:rsidR="006C6C31" w:rsidRPr="006C6C31" w:rsidRDefault="006C6C31" w:rsidP="006C6C31">
      <w:pPr>
        <w:tabs>
          <w:tab w:val="left" w:pos="1560"/>
        </w:tabs>
        <w:spacing w:line="360" w:lineRule="auto"/>
        <w:rPr>
          <w:sz w:val="22"/>
          <w:szCs w:val="22"/>
        </w:rPr>
      </w:pPr>
      <w:r w:rsidRPr="006C6C31">
        <w:rPr>
          <w:sz w:val="22"/>
          <w:szCs w:val="22"/>
        </w:rPr>
        <w:t xml:space="preserve">BSBWHS201 </w:t>
      </w:r>
      <w:r>
        <w:rPr>
          <w:sz w:val="22"/>
          <w:szCs w:val="22"/>
        </w:rPr>
        <w:tab/>
      </w:r>
      <w:r w:rsidRPr="006C6C31">
        <w:rPr>
          <w:sz w:val="22"/>
          <w:szCs w:val="22"/>
        </w:rPr>
        <w:t xml:space="preserve">Contribute to Health &amp; Safety of Self and Others </w:t>
      </w:r>
    </w:p>
    <w:p w:rsidR="006C6C31" w:rsidRPr="006C6C31" w:rsidRDefault="006C6C31" w:rsidP="006C6C31">
      <w:pPr>
        <w:tabs>
          <w:tab w:val="left" w:pos="1560"/>
        </w:tabs>
        <w:spacing w:line="360" w:lineRule="auto"/>
        <w:rPr>
          <w:sz w:val="22"/>
          <w:szCs w:val="22"/>
        </w:rPr>
      </w:pPr>
      <w:r w:rsidRPr="006C6C31">
        <w:rPr>
          <w:sz w:val="22"/>
          <w:szCs w:val="22"/>
        </w:rPr>
        <w:t>ICTICT201</w:t>
      </w:r>
      <w:r>
        <w:rPr>
          <w:sz w:val="22"/>
          <w:szCs w:val="22"/>
        </w:rPr>
        <w:tab/>
      </w:r>
      <w:r w:rsidRPr="006C6C31">
        <w:rPr>
          <w:sz w:val="22"/>
          <w:szCs w:val="22"/>
        </w:rPr>
        <w:t>Use computer operating systems and hardware</w:t>
      </w:r>
    </w:p>
    <w:p w:rsidR="006C6C31" w:rsidRPr="006C6C31" w:rsidRDefault="006C6C31" w:rsidP="006C6C31">
      <w:pPr>
        <w:tabs>
          <w:tab w:val="left" w:pos="1560"/>
        </w:tabs>
        <w:spacing w:line="360" w:lineRule="auto"/>
        <w:rPr>
          <w:sz w:val="22"/>
          <w:szCs w:val="22"/>
        </w:rPr>
      </w:pPr>
      <w:r w:rsidRPr="006C6C31">
        <w:rPr>
          <w:sz w:val="22"/>
          <w:szCs w:val="22"/>
        </w:rPr>
        <w:t xml:space="preserve">ICTICT202 </w:t>
      </w:r>
      <w:r>
        <w:rPr>
          <w:sz w:val="22"/>
          <w:szCs w:val="22"/>
        </w:rPr>
        <w:tab/>
      </w:r>
      <w:r w:rsidRPr="006C6C31">
        <w:rPr>
          <w:sz w:val="22"/>
          <w:szCs w:val="22"/>
        </w:rPr>
        <w:t>Work and communicate effectively in an ICT environment</w:t>
      </w:r>
    </w:p>
    <w:p w:rsidR="00FF6A05" w:rsidRPr="006C6C31" w:rsidRDefault="00FF6A05" w:rsidP="00FF6A05">
      <w:pPr>
        <w:tabs>
          <w:tab w:val="left" w:pos="1560"/>
        </w:tabs>
        <w:spacing w:line="360" w:lineRule="auto"/>
        <w:rPr>
          <w:rFonts w:asciiTheme="minorHAnsi" w:hAnsiTheme="minorHAnsi" w:cstheme="minorHAnsi"/>
          <w:sz w:val="22"/>
          <w:szCs w:val="22"/>
        </w:rPr>
      </w:pPr>
      <w:r w:rsidRPr="006C6C31">
        <w:rPr>
          <w:rFonts w:asciiTheme="minorHAnsi" w:hAnsiTheme="minorHAnsi" w:cstheme="minorHAnsi"/>
          <w:sz w:val="22"/>
          <w:szCs w:val="22"/>
        </w:rPr>
        <w:t>ICTICT207</w:t>
      </w:r>
      <w:r>
        <w:rPr>
          <w:rFonts w:asciiTheme="minorHAnsi" w:hAnsiTheme="minorHAnsi" w:cstheme="minorHAnsi"/>
          <w:sz w:val="22"/>
          <w:szCs w:val="22"/>
        </w:rPr>
        <w:tab/>
      </w:r>
      <w:r w:rsidRPr="006C6C31">
        <w:rPr>
          <w:rFonts w:asciiTheme="minorHAnsi" w:hAnsiTheme="minorHAnsi" w:cstheme="minorHAnsi"/>
          <w:sz w:val="22"/>
          <w:szCs w:val="22"/>
        </w:rPr>
        <w:t>Integrate Commercial Computing Packages</w:t>
      </w:r>
    </w:p>
    <w:p w:rsidR="00FF6A05" w:rsidRPr="006C6C31" w:rsidRDefault="00FF6A05" w:rsidP="00FF6A05">
      <w:pPr>
        <w:tabs>
          <w:tab w:val="left" w:pos="1560"/>
        </w:tabs>
        <w:spacing w:line="360" w:lineRule="auto"/>
        <w:rPr>
          <w:rFonts w:asciiTheme="minorHAnsi" w:hAnsiTheme="minorHAnsi" w:cstheme="minorHAnsi"/>
          <w:sz w:val="22"/>
          <w:szCs w:val="22"/>
        </w:rPr>
      </w:pPr>
      <w:r w:rsidRPr="006C6C31">
        <w:rPr>
          <w:rFonts w:asciiTheme="minorHAnsi" w:hAnsiTheme="minorHAnsi" w:cstheme="minorHAnsi"/>
          <w:sz w:val="22"/>
          <w:szCs w:val="22"/>
        </w:rPr>
        <w:t xml:space="preserve">ICTICT205 </w:t>
      </w:r>
      <w:r>
        <w:rPr>
          <w:rFonts w:asciiTheme="minorHAnsi" w:hAnsiTheme="minorHAnsi" w:cstheme="minorHAnsi"/>
          <w:sz w:val="22"/>
          <w:szCs w:val="22"/>
        </w:rPr>
        <w:tab/>
      </w:r>
      <w:r w:rsidRPr="006C6C31">
        <w:rPr>
          <w:rFonts w:asciiTheme="minorHAnsi" w:hAnsiTheme="minorHAnsi" w:cstheme="minorHAnsi"/>
          <w:sz w:val="22"/>
          <w:szCs w:val="22"/>
        </w:rPr>
        <w:t>Design basic organisational documents using computing packages</w:t>
      </w:r>
    </w:p>
    <w:p w:rsidR="006C6C31" w:rsidRPr="006C6C31" w:rsidRDefault="006C6C31" w:rsidP="006C6C31">
      <w:pPr>
        <w:tabs>
          <w:tab w:val="left" w:pos="1560"/>
        </w:tabs>
        <w:spacing w:line="360" w:lineRule="auto"/>
        <w:rPr>
          <w:sz w:val="22"/>
          <w:szCs w:val="22"/>
        </w:rPr>
      </w:pPr>
      <w:r w:rsidRPr="006C6C31">
        <w:rPr>
          <w:sz w:val="22"/>
          <w:szCs w:val="22"/>
        </w:rPr>
        <w:t xml:space="preserve">ICTICT204 </w:t>
      </w:r>
      <w:r>
        <w:rPr>
          <w:sz w:val="22"/>
          <w:szCs w:val="22"/>
        </w:rPr>
        <w:tab/>
      </w:r>
      <w:r w:rsidRPr="006C6C31">
        <w:rPr>
          <w:sz w:val="22"/>
          <w:szCs w:val="22"/>
        </w:rPr>
        <w:t>Operate digital media technology package</w:t>
      </w:r>
    </w:p>
    <w:p w:rsidR="00FF6A05" w:rsidRPr="006C6C31" w:rsidRDefault="00FF6A05" w:rsidP="00FF6A05">
      <w:pPr>
        <w:tabs>
          <w:tab w:val="left" w:pos="1560"/>
        </w:tabs>
        <w:spacing w:line="360" w:lineRule="auto"/>
        <w:rPr>
          <w:sz w:val="22"/>
          <w:szCs w:val="22"/>
        </w:rPr>
      </w:pPr>
      <w:r w:rsidRPr="006C6C31">
        <w:rPr>
          <w:sz w:val="22"/>
          <w:szCs w:val="22"/>
        </w:rPr>
        <w:t xml:space="preserve">ICTICT203 </w:t>
      </w:r>
      <w:r>
        <w:rPr>
          <w:sz w:val="22"/>
          <w:szCs w:val="22"/>
        </w:rPr>
        <w:tab/>
      </w:r>
      <w:r w:rsidRPr="006C6C31">
        <w:rPr>
          <w:sz w:val="22"/>
          <w:szCs w:val="22"/>
        </w:rPr>
        <w:t>Operate application software packages</w:t>
      </w:r>
    </w:p>
    <w:p w:rsidR="006C6C31" w:rsidRPr="006C6C31" w:rsidRDefault="006C6C31" w:rsidP="006C6C31">
      <w:pPr>
        <w:tabs>
          <w:tab w:val="left" w:pos="1560"/>
        </w:tabs>
        <w:spacing w:line="360" w:lineRule="auto"/>
        <w:rPr>
          <w:sz w:val="22"/>
          <w:szCs w:val="22"/>
        </w:rPr>
      </w:pPr>
      <w:r w:rsidRPr="006C6C31">
        <w:rPr>
          <w:sz w:val="22"/>
          <w:szCs w:val="22"/>
        </w:rPr>
        <w:t xml:space="preserve">ICTWEB201 </w:t>
      </w:r>
      <w:r>
        <w:rPr>
          <w:sz w:val="22"/>
          <w:szCs w:val="22"/>
        </w:rPr>
        <w:tab/>
      </w:r>
      <w:r w:rsidRPr="006C6C31">
        <w:rPr>
          <w:sz w:val="22"/>
          <w:szCs w:val="22"/>
        </w:rPr>
        <w:t>Use social media tools for collaboration and engagement</w:t>
      </w:r>
    </w:p>
    <w:p w:rsidR="006C6C31" w:rsidRPr="006C6C31" w:rsidRDefault="006C6C31" w:rsidP="006C6C31">
      <w:pPr>
        <w:tabs>
          <w:tab w:val="left" w:pos="1560"/>
        </w:tabs>
        <w:spacing w:line="360" w:lineRule="auto"/>
        <w:rPr>
          <w:rFonts w:asciiTheme="minorHAnsi" w:hAnsiTheme="minorHAnsi" w:cstheme="minorHAnsi"/>
          <w:sz w:val="22"/>
          <w:szCs w:val="22"/>
        </w:rPr>
      </w:pPr>
      <w:r w:rsidRPr="006C6C31">
        <w:rPr>
          <w:rFonts w:asciiTheme="minorHAnsi" w:hAnsiTheme="minorHAnsi" w:cstheme="minorHAnsi"/>
          <w:sz w:val="22"/>
          <w:szCs w:val="22"/>
        </w:rPr>
        <w:t>ICTSAS206</w:t>
      </w:r>
      <w:r>
        <w:rPr>
          <w:rFonts w:asciiTheme="minorHAnsi" w:hAnsiTheme="minorHAnsi" w:cstheme="minorHAnsi"/>
          <w:sz w:val="22"/>
          <w:szCs w:val="22"/>
        </w:rPr>
        <w:tab/>
      </w:r>
      <w:r w:rsidRPr="006C6C31">
        <w:rPr>
          <w:rFonts w:asciiTheme="minorHAnsi" w:hAnsiTheme="minorHAnsi" w:cstheme="minorHAnsi"/>
          <w:sz w:val="22"/>
          <w:szCs w:val="22"/>
        </w:rPr>
        <w:t>Detect and protect from spam and destructive software</w:t>
      </w:r>
    </w:p>
    <w:p w:rsidR="00FF6A05" w:rsidRPr="006C6C31" w:rsidRDefault="00F24316" w:rsidP="00FF6A05">
      <w:pPr>
        <w:tabs>
          <w:tab w:val="left" w:pos="1560"/>
        </w:tabs>
        <w:spacing w:line="360" w:lineRule="auto"/>
        <w:rPr>
          <w:sz w:val="22"/>
          <w:szCs w:val="22"/>
        </w:rPr>
      </w:pPr>
      <w:r>
        <w:rPr>
          <w:rFonts w:asciiTheme="minorHAnsi" w:hAnsiTheme="minorHAnsi" w:cstheme="minorHAnsi"/>
          <w:color w:val="000000" w:themeColor="text1"/>
          <w:sz w:val="22"/>
          <w:szCs w:val="22"/>
        </w:rPr>
        <w:t>ICTSAS308</w:t>
      </w:r>
      <w:r w:rsidR="00FF6A05" w:rsidRPr="006C6C31">
        <w:rPr>
          <w:rFonts w:asciiTheme="minorHAnsi" w:hAnsiTheme="minorHAnsi" w:cstheme="minorHAnsi"/>
          <w:color w:val="000000" w:themeColor="text1"/>
          <w:sz w:val="22"/>
          <w:szCs w:val="22"/>
        </w:rPr>
        <w:t xml:space="preserve"> </w:t>
      </w:r>
      <w:r w:rsidR="00FF6A05">
        <w:rPr>
          <w:rFonts w:asciiTheme="minorHAnsi" w:hAnsiTheme="minorHAnsi" w:cstheme="minorHAnsi"/>
          <w:color w:val="000000" w:themeColor="text1"/>
          <w:sz w:val="22"/>
          <w:szCs w:val="22"/>
        </w:rPr>
        <w:tab/>
      </w:r>
      <w:r w:rsidR="00FF6A05" w:rsidRPr="006C6C31">
        <w:rPr>
          <w:rFonts w:asciiTheme="minorHAnsi" w:hAnsiTheme="minorHAnsi" w:cstheme="minorHAnsi"/>
          <w:color w:val="000000" w:themeColor="text1"/>
          <w:sz w:val="22"/>
          <w:szCs w:val="22"/>
        </w:rPr>
        <w:t>Run standard diagnostic tests</w:t>
      </w:r>
    </w:p>
    <w:p w:rsidR="006C6C31" w:rsidRPr="006C6C31" w:rsidRDefault="006C6C31" w:rsidP="006C6C31">
      <w:pPr>
        <w:tabs>
          <w:tab w:val="left" w:pos="1560"/>
        </w:tabs>
        <w:spacing w:line="360" w:lineRule="auto"/>
        <w:rPr>
          <w:rFonts w:asciiTheme="minorHAnsi" w:hAnsiTheme="minorHAnsi" w:cstheme="minorHAnsi"/>
          <w:sz w:val="22"/>
          <w:szCs w:val="22"/>
        </w:rPr>
      </w:pPr>
      <w:r w:rsidRPr="006C6C31">
        <w:rPr>
          <w:rFonts w:asciiTheme="minorHAnsi" w:hAnsiTheme="minorHAnsi" w:cstheme="minorHAnsi"/>
          <w:sz w:val="22"/>
          <w:szCs w:val="22"/>
        </w:rPr>
        <w:t xml:space="preserve">CUADIG303 </w:t>
      </w:r>
      <w:r>
        <w:rPr>
          <w:rFonts w:asciiTheme="minorHAnsi" w:hAnsiTheme="minorHAnsi" w:cstheme="minorHAnsi"/>
          <w:sz w:val="22"/>
          <w:szCs w:val="22"/>
        </w:rPr>
        <w:tab/>
      </w:r>
      <w:r w:rsidRPr="006C6C31">
        <w:rPr>
          <w:rFonts w:asciiTheme="minorHAnsi" w:hAnsiTheme="minorHAnsi" w:cstheme="minorHAnsi"/>
          <w:sz w:val="22"/>
          <w:szCs w:val="22"/>
        </w:rPr>
        <w:t>Produce and prepare photo images</w:t>
      </w:r>
    </w:p>
    <w:p w:rsidR="006C6C31" w:rsidRPr="00FF6A05" w:rsidRDefault="006C6C31" w:rsidP="006C6C31">
      <w:pPr>
        <w:tabs>
          <w:tab w:val="left" w:pos="1560"/>
        </w:tabs>
        <w:spacing w:line="360" w:lineRule="auto"/>
        <w:rPr>
          <w:rFonts w:asciiTheme="minorHAnsi" w:hAnsiTheme="minorHAnsi" w:cstheme="minorHAnsi"/>
          <w:sz w:val="22"/>
          <w:szCs w:val="22"/>
        </w:rPr>
      </w:pPr>
      <w:r w:rsidRPr="00FF6A05">
        <w:rPr>
          <w:rFonts w:asciiTheme="minorHAnsi" w:hAnsiTheme="minorHAnsi" w:cstheme="minorHAnsi"/>
          <w:sz w:val="22"/>
          <w:szCs w:val="22"/>
        </w:rPr>
        <w:t xml:space="preserve">ICPDMT321 </w:t>
      </w:r>
      <w:r w:rsidRPr="00FF6A05">
        <w:rPr>
          <w:rFonts w:asciiTheme="minorHAnsi" w:hAnsiTheme="minorHAnsi" w:cstheme="minorHAnsi"/>
          <w:sz w:val="22"/>
          <w:szCs w:val="22"/>
        </w:rPr>
        <w:tab/>
        <w:t>Capture a digital image</w:t>
      </w:r>
    </w:p>
    <w:p w:rsidR="00FF6A05" w:rsidRDefault="00FF6A05" w:rsidP="00FF6A05">
      <w:pPr>
        <w:tabs>
          <w:tab w:val="left" w:pos="1560"/>
        </w:tabs>
        <w:spacing w:line="360" w:lineRule="auto"/>
        <w:rPr>
          <w:rFonts w:asciiTheme="minorHAnsi" w:hAnsiTheme="minorHAnsi" w:cstheme="minorHAnsi"/>
          <w:sz w:val="22"/>
          <w:szCs w:val="22"/>
        </w:rPr>
      </w:pPr>
      <w:r w:rsidRPr="006C6C31">
        <w:rPr>
          <w:rFonts w:asciiTheme="minorHAnsi" w:hAnsiTheme="minorHAnsi" w:cstheme="minorHAnsi"/>
          <w:sz w:val="22"/>
          <w:szCs w:val="22"/>
        </w:rPr>
        <w:t>ICTICT210</w:t>
      </w:r>
      <w:r>
        <w:rPr>
          <w:rFonts w:asciiTheme="minorHAnsi" w:hAnsiTheme="minorHAnsi" w:cstheme="minorHAnsi"/>
          <w:sz w:val="22"/>
          <w:szCs w:val="22"/>
        </w:rPr>
        <w:tab/>
      </w:r>
      <w:r w:rsidRPr="006C6C31">
        <w:rPr>
          <w:rFonts w:asciiTheme="minorHAnsi" w:hAnsiTheme="minorHAnsi" w:cstheme="minorHAnsi"/>
          <w:sz w:val="22"/>
          <w:szCs w:val="22"/>
        </w:rPr>
        <w:t>Operate database applications</w:t>
      </w:r>
    </w:p>
    <w:p w:rsidR="00F24316" w:rsidRPr="006C6C31" w:rsidRDefault="00F24316" w:rsidP="00FF6A05">
      <w:pPr>
        <w:tabs>
          <w:tab w:val="left" w:pos="1560"/>
        </w:tabs>
        <w:spacing w:line="360" w:lineRule="auto"/>
        <w:rPr>
          <w:rFonts w:asciiTheme="minorHAnsi" w:hAnsiTheme="minorHAnsi" w:cstheme="minorHAnsi"/>
          <w:sz w:val="22"/>
          <w:szCs w:val="22"/>
        </w:rPr>
      </w:pPr>
      <w:r>
        <w:rPr>
          <w:rFonts w:asciiTheme="minorHAnsi" w:hAnsiTheme="minorHAnsi" w:cstheme="minorHAnsi"/>
          <w:sz w:val="22"/>
          <w:szCs w:val="22"/>
        </w:rPr>
        <w:t xml:space="preserve">BSBSUS201 </w:t>
      </w:r>
      <w:r>
        <w:rPr>
          <w:rFonts w:asciiTheme="minorHAnsi" w:hAnsiTheme="minorHAnsi" w:cstheme="minorHAnsi"/>
          <w:sz w:val="22"/>
          <w:szCs w:val="22"/>
        </w:rPr>
        <w:tab/>
        <w:t>Participate in environmentally sustainable work practices</w:t>
      </w:r>
    </w:p>
    <w:p w:rsidR="005125CA" w:rsidRDefault="005125CA">
      <w:pPr>
        <w:rPr>
          <w:sz w:val="22"/>
          <w:szCs w:val="22"/>
        </w:rPr>
      </w:pPr>
      <w:r>
        <w:rPr>
          <w:sz w:val="22"/>
          <w:szCs w:val="22"/>
        </w:rPr>
        <w:br w:type="page"/>
      </w:r>
    </w:p>
    <w:p w:rsidR="00425207" w:rsidRDefault="00425207" w:rsidP="002227CB">
      <w:pPr>
        <w:spacing w:line="240" w:lineRule="auto"/>
        <w:ind w:left="-5"/>
        <w:rPr>
          <w:b/>
          <w:sz w:val="22"/>
          <w:szCs w:val="22"/>
        </w:rPr>
      </w:pPr>
      <w:r w:rsidRPr="002227CB">
        <w:rPr>
          <w:b/>
          <w:sz w:val="22"/>
          <w:szCs w:val="22"/>
        </w:rPr>
        <w:t xml:space="preserve">COURSE OUTLINE: </w:t>
      </w:r>
    </w:p>
    <w:p w:rsidR="00425207" w:rsidRDefault="00425207" w:rsidP="002227CB">
      <w:pPr>
        <w:spacing w:line="240" w:lineRule="auto"/>
        <w:ind w:left="-5" w:right="42"/>
        <w:jc w:val="both"/>
      </w:pPr>
      <w:r w:rsidRPr="002227CB">
        <w:rPr>
          <w:sz w:val="22"/>
          <w:szCs w:val="22"/>
        </w:rPr>
        <w:t>This qualification provides the</w:t>
      </w:r>
      <w:r>
        <w:t xml:space="preserve"> skills and knowledge for individuals to safely perform foundation digital literacy tasks using a personal computer and a range of software applications and digital devices. </w:t>
      </w:r>
    </w:p>
    <w:p w:rsidR="002227CB" w:rsidRDefault="002227CB" w:rsidP="002227CB">
      <w:pPr>
        <w:spacing w:line="240" w:lineRule="auto"/>
        <w:ind w:left="-5" w:right="42"/>
        <w:jc w:val="both"/>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4"/>
        <w:gridCol w:w="4477"/>
      </w:tblGrid>
      <w:tr w:rsidR="002F59DF" w:rsidRPr="00CA576E" w:rsidTr="00594517">
        <w:trPr>
          <w:trHeight w:val="360"/>
        </w:trPr>
        <w:tc>
          <w:tcPr>
            <w:tcW w:w="4454" w:type="dxa"/>
            <w:shd w:val="pct30" w:color="auto" w:fill="FFFFFF"/>
            <w:vAlign w:val="center"/>
            <w:hideMark/>
          </w:tcPr>
          <w:p w:rsidR="002F59DF" w:rsidRPr="00CA576E" w:rsidRDefault="002F59DF" w:rsidP="002F59DF">
            <w:pPr>
              <w:pStyle w:val="Document1"/>
              <w:keepNext w:val="0"/>
              <w:keepLines w:val="0"/>
              <w:tabs>
                <w:tab w:val="left" w:pos="567"/>
              </w:tabs>
              <w:ind w:left="284"/>
              <w:jc w:val="center"/>
              <w:rPr>
                <w:rFonts w:ascii="Calibri" w:hAnsi="Calibri" w:cs="Calibri"/>
                <w:b/>
                <w:spacing w:val="-3"/>
                <w:lang w:val="en-AU"/>
              </w:rPr>
            </w:pPr>
            <w:r w:rsidRPr="00CA576E">
              <w:rPr>
                <w:rFonts w:ascii="Calibri" w:hAnsi="Calibri" w:cs="Calibri"/>
                <w:b/>
                <w:spacing w:val="-3"/>
                <w:sz w:val="22"/>
                <w:lang w:val="en-AU"/>
              </w:rPr>
              <w:t>Semester 1</w:t>
            </w:r>
          </w:p>
        </w:tc>
        <w:tc>
          <w:tcPr>
            <w:tcW w:w="4477" w:type="dxa"/>
            <w:shd w:val="pct30" w:color="auto" w:fill="FFFFFF"/>
            <w:vAlign w:val="center"/>
            <w:hideMark/>
          </w:tcPr>
          <w:p w:rsidR="002F59DF" w:rsidRPr="00CA576E" w:rsidRDefault="002F59DF" w:rsidP="002F59DF">
            <w:pPr>
              <w:pStyle w:val="Document1"/>
              <w:keepNext w:val="0"/>
              <w:keepLines w:val="0"/>
              <w:ind w:left="318"/>
              <w:jc w:val="center"/>
              <w:rPr>
                <w:rFonts w:ascii="Calibri" w:hAnsi="Calibri" w:cs="Calibri"/>
                <w:b/>
                <w:spacing w:val="-3"/>
                <w:u w:val="single"/>
                <w:lang w:val="en-AU"/>
              </w:rPr>
            </w:pPr>
            <w:r w:rsidRPr="00CA576E">
              <w:rPr>
                <w:rFonts w:ascii="Calibri" w:hAnsi="Calibri" w:cs="Calibri"/>
                <w:b/>
                <w:spacing w:val="-3"/>
                <w:sz w:val="22"/>
                <w:lang w:val="en-AU"/>
              </w:rPr>
              <w:t>Semester 2</w:t>
            </w:r>
          </w:p>
        </w:tc>
      </w:tr>
      <w:tr w:rsidR="006C6C31" w:rsidRPr="00CA576E" w:rsidTr="002A7AAC">
        <w:trPr>
          <w:trHeight w:val="1817"/>
        </w:trPr>
        <w:tc>
          <w:tcPr>
            <w:tcW w:w="4454" w:type="dxa"/>
          </w:tcPr>
          <w:p w:rsidR="00AE1EC1" w:rsidRPr="005125CA" w:rsidRDefault="00AE1EC1" w:rsidP="002A7AAC">
            <w:pPr>
              <w:tabs>
                <w:tab w:val="left" w:pos="1452"/>
              </w:tabs>
              <w:spacing w:before="40" w:after="20" w:line="240" w:lineRule="auto"/>
              <w:rPr>
                <w:rFonts w:asciiTheme="majorHAnsi" w:hAnsiTheme="majorHAnsi" w:cstheme="majorHAnsi"/>
                <w:sz w:val="18"/>
                <w:szCs w:val="18"/>
              </w:rPr>
            </w:pPr>
          </w:p>
          <w:p w:rsidR="006C6C31" w:rsidRPr="005125CA" w:rsidRDefault="006C6C31" w:rsidP="002A7AAC">
            <w:pPr>
              <w:tabs>
                <w:tab w:val="left" w:pos="1452"/>
              </w:tabs>
              <w:spacing w:before="40" w:after="20" w:line="240" w:lineRule="auto"/>
              <w:rPr>
                <w:rFonts w:asciiTheme="majorHAnsi" w:hAnsiTheme="majorHAnsi" w:cstheme="majorHAnsi"/>
                <w:sz w:val="18"/>
                <w:szCs w:val="18"/>
              </w:rPr>
            </w:pPr>
            <w:r w:rsidRPr="005125CA">
              <w:rPr>
                <w:rFonts w:asciiTheme="majorHAnsi" w:hAnsiTheme="majorHAnsi" w:cstheme="majorHAnsi"/>
                <w:sz w:val="18"/>
                <w:szCs w:val="18"/>
              </w:rPr>
              <w:t xml:space="preserve">BSBWHS201 </w:t>
            </w:r>
            <w:r w:rsidR="002A7AAC" w:rsidRPr="005125CA">
              <w:rPr>
                <w:rFonts w:asciiTheme="majorHAnsi" w:hAnsiTheme="majorHAnsi" w:cstheme="majorHAnsi"/>
                <w:sz w:val="18"/>
                <w:szCs w:val="18"/>
              </w:rPr>
              <w:tab/>
            </w:r>
            <w:r w:rsidRPr="005125CA">
              <w:rPr>
                <w:rFonts w:asciiTheme="majorHAnsi" w:hAnsiTheme="majorHAnsi" w:cstheme="majorHAnsi"/>
                <w:sz w:val="18"/>
                <w:szCs w:val="18"/>
              </w:rPr>
              <w:t xml:space="preserve">Contribute to Health &amp; Safety </w:t>
            </w:r>
          </w:p>
          <w:p w:rsidR="006C6C31" w:rsidRPr="005125CA" w:rsidRDefault="002A7AAC" w:rsidP="002A7AAC">
            <w:pPr>
              <w:tabs>
                <w:tab w:val="left" w:pos="1452"/>
              </w:tabs>
              <w:spacing w:before="40" w:after="20" w:line="240" w:lineRule="auto"/>
              <w:rPr>
                <w:rFonts w:asciiTheme="majorHAnsi" w:hAnsiTheme="majorHAnsi" w:cstheme="majorHAnsi"/>
                <w:sz w:val="18"/>
                <w:szCs w:val="18"/>
              </w:rPr>
            </w:pPr>
            <w:r w:rsidRPr="005125CA">
              <w:rPr>
                <w:rFonts w:asciiTheme="majorHAnsi" w:hAnsiTheme="majorHAnsi" w:cstheme="majorHAnsi"/>
                <w:sz w:val="18"/>
                <w:szCs w:val="18"/>
              </w:rPr>
              <w:tab/>
            </w:r>
            <w:r w:rsidR="006C6C31" w:rsidRPr="005125CA">
              <w:rPr>
                <w:rFonts w:asciiTheme="majorHAnsi" w:hAnsiTheme="majorHAnsi" w:cstheme="majorHAnsi"/>
                <w:sz w:val="18"/>
                <w:szCs w:val="18"/>
              </w:rPr>
              <w:t xml:space="preserve">of Self and Others </w:t>
            </w:r>
          </w:p>
          <w:p w:rsidR="006C6C31" w:rsidRPr="005125CA" w:rsidRDefault="002A7AAC" w:rsidP="002A7AAC">
            <w:pPr>
              <w:tabs>
                <w:tab w:val="left" w:pos="1452"/>
              </w:tabs>
              <w:spacing w:before="40" w:after="20" w:line="240" w:lineRule="auto"/>
              <w:rPr>
                <w:rFonts w:asciiTheme="majorHAnsi" w:hAnsiTheme="majorHAnsi" w:cstheme="majorHAnsi"/>
                <w:sz w:val="18"/>
                <w:szCs w:val="18"/>
                <w:lang w:eastAsia="en-US"/>
              </w:rPr>
            </w:pPr>
            <w:r w:rsidRPr="005125CA">
              <w:rPr>
                <w:rFonts w:asciiTheme="majorHAnsi" w:hAnsiTheme="majorHAnsi" w:cstheme="majorHAnsi"/>
                <w:sz w:val="18"/>
                <w:szCs w:val="18"/>
                <w:lang w:eastAsia="en-US"/>
              </w:rPr>
              <w:t>BSBSUS201</w:t>
            </w:r>
            <w:r w:rsidRPr="005125CA">
              <w:rPr>
                <w:rFonts w:asciiTheme="majorHAnsi" w:hAnsiTheme="majorHAnsi" w:cstheme="majorHAnsi"/>
                <w:sz w:val="18"/>
                <w:szCs w:val="18"/>
                <w:lang w:eastAsia="en-US"/>
              </w:rPr>
              <w:tab/>
            </w:r>
            <w:r w:rsidR="006C6C31" w:rsidRPr="005125CA">
              <w:rPr>
                <w:rFonts w:asciiTheme="majorHAnsi" w:hAnsiTheme="majorHAnsi" w:cstheme="majorHAnsi"/>
                <w:sz w:val="18"/>
                <w:szCs w:val="18"/>
                <w:lang w:eastAsia="en-US"/>
              </w:rPr>
              <w:t xml:space="preserve">Participate in environmentally </w:t>
            </w:r>
            <w:r w:rsidRPr="005125CA">
              <w:rPr>
                <w:rFonts w:asciiTheme="majorHAnsi" w:hAnsiTheme="majorHAnsi" w:cstheme="majorHAnsi"/>
                <w:sz w:val="18"/>
                <w:szCs w:val="18"/>
                <w:lang w:eastAsia="en-US"/>
              </w:rPr>
              <w:tab/>
            </w:r>
            <w:r w:rsidR="006C6C31" w:rsidRPr="005125CA">
              <w:rPr>
                <w:rFonts w:asciiTheme="majorHAnsi" w:hAnsiTheme="majorHAnsi" w:cstheme="majorHAnsi"/>
                <w:sz w:val="18"/>
                <w:szCs w:val="18"/>
                <w:lang w:eastAsia="en-US"/>
              </w:rPr>
              <w:t>sustainable work practices</w:t>
            </w:r>
          </w:p>
          <w:p w:rsidR="006C6C31" w:rsidRPr="005125CA" w:rsidRDefault="002A7AAC" w:rsidP="002A7AAC">
            <w:pPr>
              <w:tabs>
                <w:tab w:val="left" w:pos="1452"/>
              </w:tabs>
              <w:spacing w:line="360" w:lineRule="auto"/>
              <w:rPr>
                <w:rFonts w:asciiTheme="majorHAnsi" w:hAnsiTheme="majorHAnsi" w:cstheme="majorHAnsi"/>
                <w:sz w:val="18"/>
                <w:szCs w:val="18"/>
              </w:rPr>
            </w:pPr>
            <w:r w:rsidRPr="005125CA">
              <w:rPr>
                <w:rFonts w:asciiTheme="majorHAnsi" w:hAnsiTheme="majorHAnsi" w:cstheme="majorHAnsi"/>
                <w:sz w:val="18"/>
                <w:szCs w:val="18"/>
              </w:rPr>
              <w:t>ICTICT201</w:t>
            </w:r>
            <w:r w:rsidRPr="005125CA">
              <w:rPr>
                <w:rFonts w:asciiTheme="majorHAnsi" w:hAnsiTheme="majorHAnsi" w:cstheme="majorHAnsi"/>
                <w:sz w:val="18"/>
                <w:szCs w:val="18"/>
              </w:rPr>
              <w:tab/>
              <w:t xml:space="preserve">Use computer operating </w:t>
            </w:r>
            <w:r w:rsidRPr="005125CA">
              <w:rPr>
                <w:rFonts w:asciiTheme="majorHAnsi" w:hAnsiTheme="majorHAnsi" w:cstheme="majorHAnsi"/>
                <w:sz w:val="18"/>
                <w:szCs w:val="18"/>
              </w:rPr>
              <w:tab/>
              <w:t>systems and hardwar</w:t>
            </w:r>
            <w:r w:rsidR="005125CA">
              <w:rPr>
                <w:rFonts w:asciiTheme="majorHAnsi" w:hAnsiTheme="majorHAnsi" w:cstheme="majorHAnsi"/>
                <w:sz w:val="18"/>
                <w:szCs w:val="18"/>
              </w:rPr>
              <w:t>e</w:t>
            </w:r>
          </w:p>
        </w:tc>
        <w:tc>
          <w:tcPr>
            <w:tcW w:w="4477" w:type="dxa"/>
          </w:tcPr>
          <w:p w:rsidR="00AE1EC1" w:rsidRPr="005125CA" w:rsidRDefault="00AE1EC1" w:rsidP="002A7AAC">
            <w:pPr>
              <w:tabs>
                <w:tab w:val="left" w:pos="1252"/>
                <w:tab w:val="left" w:pos="1560"/>
              </w:tabs>
              <w:spacing w:line="240" w:lineRule="auto"/>
              <w:rPr>
                <w:rFonts w:asciiTheme="majorHAnsi" w:hAnsiTheme="majorHAnsi" w:cstheme="majorHAnsi"/>
                <w:sz w:val="18"/>
                <w:szCs w:val="18"/>
              </w:rPr>
            </w:pPr>
          </w:p>
          <w:p w:rsidR="002A7AAC" w:rsidRPr="005125CA" w:rsidRDefault="002A7AAC" w:rsidP="002A7AAC">
            <w:pPr>
              <w:tabs>
                <w:tab w:val="left" w:pos="1252"/>
                <w:tab w:val="left" w:pos="1560"/>
              </w:tabs>
              <w:spacing w:line="240" w:lineRule="auto"/>
              <w:rPr>
                <w:rFonts w:asciiTheme="majorHAnsi" w:hAnsiTheme="majorHAnsi" w:cstheme="majorHAnsi"/>
                <w:sz w:val="18"/>
                <w:szCs w:val="18"/>
              </w:rPr>
            </w:pPr>
            <w:r w:rsidRPr="005125CA">
              <w:rPr>
                <w:rFonts w:asciiTheme="majorHAnsi" w:hAnsiTheme="majorHAnsi" w:cstheme="majorHAnsi"/>
                <w:sz w:val="18"/>
                <w:szCs w:val="18"/>
              </w:rPr>
              <w:t>ICTICT207</w:t>
            </w:r>
            <w:r w:rsidRPr="005125CA">
              <w:rPr>
                <w:rFonts w:asciiTheme="majorHAnsi" w:hAnsiTheme="majorHAnsi" w:cstheme="majorHAnsi"/>
                <w:sz w:val="18"/>
                <w:szCs w:val="18"/>
              </w:rPr>
              <w:tab/>
              <w:t xml:space="preserve">Integrate commercial computing </w:t>
            </w:r>
            <w:r w:rsidRPr="005125CA">
              <w:rPr>
                <w:rFonts w:asciiTheme="majorHAnsi" w:hAnsiTheme="majorHAnsi" w:cstheme="majorHAnsi"/>
                <w:sz w:val="18"/>
                <w:szCs w:val="18"/>
              </w:rPr>
              <w:tab/>
              <w:t>packages</w:t>
            </w:r>
          </w:p>
          <w:p w:rsidR="00FF6A05" w:rsidRPr="005125CA" w:rsidRDefault="00FF6A05" w:rsidP="00FF6A05">
            <w:pPr>
              <w:tabs>
                <w:tab w:val="left" w:pos="1252"/>
              </w:tabs>
              <w:spacing w:line="240" w:lineRule="auto"/>
              <w:rPr>
                <w:rFonts w:asciiTheme="majorHAnsi" w:hAnsiTheme="majorHAnsi" w:cstheme="majorHAnsi"/>
                <w:sz w:val="18"/>
                <w:szCs w:val="18"/>
              </w:rPr>
            </w:pPr>
            <w:r w:rsidRPr="005125CA">
              <w:rPr>
                <w:rFonts w:asciiTheme="majorHAnsi" w:hAnsiTheme="majorHAnsi" w:cstheme="majorHAnsi"/>
                <w:sz w:val="18"/>
                <w:szCs w:val="18"/>
              </w:rPr>
              <w:t>ICTICT205</w:t>
            </w:r>
            <w:r w:rsidRPr="005125CA">
              <w:rPr>
                <w:rFonts w:asciiTheme="majorHAnsi" w:hAnsiTheme="majorHAnsi" w:cstheme="majorHAnsi"/>
                <w:sz w:val="18"/>
                <w:szCs w:val="18"/>
              </w:rPr>
              <w:tab/>
              <w:t xml:space="preserve">Design basic organisational </w:t>
            </w:r>
            <w:r w:rsidRPr="005125CA">
              <w:rPr>
                <w:rFonts w:asciiTheme="majorHAnsi" w:hAnsiTheme="majorHAnsi" w:cstheme="majorHAnsi"/>
                <w:sz w:val="18"/>
                <w:szCs w:val="18"/>
              </w:rPr>
              <w:tab/>
              <w:t xml:space="preserve">documents using computing </w:t>
            </w:r>
            <w:r w:rsidRPr="005125CA">
              <w:rPr>
                <w:rFonts w:asciiTheme="majorHAnsi" w:hAnsiTheme="majorHAnsi" w:cstheme="majorHAnsi"/>
                <w:sz w:val="18"/>
                <w:szCs w:val="18"/>
              </w:rPr>
              <w:tab/>
              <w:t>packages</w:t>
            </w:r>
          </w:p>
          <w:p w:rsidR="00FF6A05" w:rsidRPr="005125CA" w:rsidRDefault="00FF6A05" w:rsidP="002A7AAC">
            <w:pPr>
              <w:tabs>
                <w:tab w:val="left" w:pos="1252"/>
                <w:tab w:val="left" w:pos="1560"/>
              </w:tabs>
              <w:spacing w:line="240" w:lineRule="auto"/>
              <w:rPr>
                <w:rFonts w:asciiTheme="majorHAnsi" w:hAnsiTheme="majorHAnsi" w:cstheme="majorHAnsi"/>
                <w:sz w:val="18"/>
                <w:szCs w:val="18"/>
              </w:rPr>
            </w:pPr>
          </w:p>
          <w:p w:rsidR="006C6C31" w:rsidRPr="005125CA" w:rsidRDefault="002A7AAC" w:rsidP="002A7AAC">
            <w:pPr>
              <w:pStyle w:val="TableBullet"/>
              <w:numPr>
                <w:ilvl w:val="0"/>
                <w:numId w:val="0"/>
              </w:numPr>
              <w:tabs>
                <w:tab w:val="left" w:pos="1252"/>
              </w:tabs>
              <w:spacing w:line="240" w:lineRule="auto"/>
              <w:rPr>
                <w:rFonts w:asciiTheme="majorHAnsi" w:hAnsiTheme="majorHAnsi" w:cstheme="majorHAnsi"/>
                <w:sz w:val="18"/>
                <w:szCs w:val="18"/>
              </w:rPr>
            </w:pPr>
            <w:r w:rsidRPr="005125CA">
              <w:rPr>
                <w:rFonts w:asciiTheme="majorHAnsi" w:hAnsiTheme="majorHAnsi" w:cstheme="majorHAnsi"/>
                <w:sz w:val="18"/>
                <w:szCs w:val="18"/>
              </w:rPr>
              <w:t>ICTICT20</w:t>
            </w:r>
            <w:r w:rsidR="00FF6A05" w:rsidRPr="005125CA">
              <w:rPr>
                <w:rFonts w:asciiTheme="majorHAnsi" w:hAnsiTheme="majorHAnsi" w:cstheme="majorHAnsi"/>
                <w:sz w:val="18"/>
                <w:szCs w:val="18"/>
              </w:rPr>
              <w:t>3</w:t>
            </w:r>
            <w:r w:rsidRPr="005125CA">
              <w:rPr>
                <w:rFonts w:asciiTheme="majorHAnsi" w:hAnsiTheme="majorHAnsi" w:cstheme="majorHAnsi"/>
                <w:sz w:val="18"/>
                <w:szCs w:val="18"/>
              </w:rPr>
              <w:tab/>
              <w:t xml:space="preserve">Operate a digital media </w:t>
            </w:r>
            <w:r w:rsidRPr="005125CA">
              <w:rPr>
                <w:rFonts w:asciiTheme="majorHAnsi" w:hAnsiTheme="majorHAnsi" w:cstheme="majorHAnsi"/>
                <w:sz w:val="18"/>
                <w:szCs w:val="18"/>
              </w:rPr>
              <w:tab/>
              <w:t>technology package</w:t>
            </w:r>
          </w:p>
          <w:p w:rsidR="00FF6A05" w:rsidRPr="005125CA" w:rsidRDefault="00FF6A05" w:rsidP="002A7AAC">
            <w:pPr>
              <w:pStyle w:val="TableBullet"/>
              <w:numPr>
                <w:ilvl w:val="0"/>
                <w:numId w:val="0"/>
              </w:numPr>
              <w:tabs>
                <w:tab w:val="left" w:pos="1252"/>
              </w:tabs>
              <w:spacing w:line="240" w:lineRule="auto"/>
              <w:rPr>
                <w:rFonts w:asciiTheme="majorHAnsi" w:hAnsiTheme="majorHAnsi" w:cstheme="majorHAnsi"/>
                <w:color w:val="auto"/>
                <w:sz w:val="18"/>
                <w:szCs w:val="18"/>
              </w:rPr>
            </w:pPr>
            <w:r w:rsidRPr="005125CA">
              <w:rPr>
                <w:rFonts w:asciiTheme="majorHAnsi" w:hAnsiTheme="majorHAnsi" w:cstheme="majorHAnsi"/>
                <w:sz w:val="18"/>
                <w:szCs w:val="18"/>
              </w:rPr>
              <w:t>ICTICT024</w:t>
            </w:r>
            <w:r w:rsidRPr="005125CA">
              <w:rPr>
                <w:rFonts w:asciiTheme="majorHAnsi" w:hAnsiTheme="majorHAnsi" w:cstheme="majorHAnsi"/>
                <w:sz w:val="18"/>
                <w:szCs w:val="18"/>
              </w:rPr>
              <w:tab/>
              <w:t xml:space="preserve">Operate digital media technology </w:t>
            </w:r>
            <w:r w:rsidRPr="005125CA">
              <w:rPr>
                <w:rFonts w:asciiTheme="majorHAnsi" w:hAnsiTheme="majorHAnsi" w:cstheme="majorHAnsi"/>
                <w:sz w:val="18"/>
                <w:szCs w:val="18"/>
              </w:rPr>
              <w:tab/>
              <w:t>package</w:t>
            </w:r>
          </w:p>
        </w:tc>
      </w:tr>
      <w:tr w:rsidR="006C6C31" w:rsidRPr="00CA576E" w:rsidTr="00594517">
        <w:trPr>
          <w:trHeight w:val="360"/>
        </w:trPr>
        <w:tc>
          <w:tcPr>
            <w:tcW w:w="4454" w:type="dxa"/>
            <w:shd w:val="pct30" w:color="auto" w:fill="FFFFFF"/>
            <w:vAlign w:val="center"/>
            <w:hideMark/>
          </w:tcPr>
          <w:p w:rsidR="006C6C31" w:rsidRPr="005125CA" w:rsidRDefault="006C6C31" w:rsidP="006C6C31">
            <w:pPr>
              <w:tabs>
                <w:tab w:val="left" w:pos="567"/>
              </w:tabs>
              <w:suppressAutoHyphens/>
              <w:spacing w:line="240" w:lineRule="auto"/>
              <w:ind w:left="284"/>
              <w:jc w:val="center"/>
              <w:rPr>
                <w:rFonts w:asciiTheme="majorHAnsi" w:hAnsiTheme="majorHAnsi" w:cstheme="majorHAnsi"/>
                <w:b/>
                <w:spacing w:val="-3"/>
                <w:sz w:val="18"/>
                <w:szCs w:val="18"/>
                <w:lang w:val="en-US"/>
              </w:rPr>
            </w:pPr>
            <w:r w:rsidRPr="005125CA">
              <w:rPr>
                <w:rFonts w:asciiTheme="majorHAnsi" w:hAnsiTheme="majorHAnsi" w:cstheme="majorHAnsi"/>
                <w:b/>
                <w:spacing w:val="-3"/>
                <w:sz w:val="18"/>
                <w:szCs w:val="18"/>
              </w:rPr>
              <w:t>Semester 3</w:t>
            </w:r>
          </w:p>
        </w:tc>
        <w:tc>
          <w:tcPr>
            <w:tcW w:w="4477" w:type="dxa"/>
            <w:shd w:val="pct30" w:color="auto" w:fill="FFFFFF"/>
            <w:vAlign w:val="center"/>
            <w:hideMark/>
          </w:tcPr>
          <w:p w:rsidR="006C6C31" w:rsidRPr="005125CA" w:rsidRDefault="006C6C31" w:rsidP="006C6C31">
            <w:pPr>
              <w:tabs>
                <w:tab w:val="left" w:pos="-720"/>
              </w:tabs>
              <w:suppressAutoHyphens/>
              <w:spacing w:line="240" w:lineRule="auto"/>
              <w:ind w:left="318"/>
              <w:jc w:val="center"/>
              <w:rPr>
                <w:rFonts w:asciiTheme="majorHAnsi" w:hAnsiTheme="majorHAnsi" w:cstheme="majorHAnsi"/>
                <w:b/>
                <w:spacing w:val="-3"/>
                <w:sz w:val="18"/>
                <w:szCs w:val="18"/>
                <w:lang w:val="en-US"/>
              </w:rPr>
            </w:pPr>
            <w:r w:rsidRPr="005125CA">
              <w:rPr>
                <w:rFonts w:asciiTheme="majorHAnsi" w:hAnsiTheme="majorHAnsi" w:cstheme="majorHAnsi"/>
                <w:b/>
                <w:spacing w:val="-3"/>
                <w:sz w:val="18"/>
                <w:szCs w:val="18"/>
              </w:rPr>
              <w:t>Semester 4</w:t>
            </w:r>
          </w:p>
        </w:tc>
      </w:tr>
      <w:tr w:rsidR="006C6C31" w:rsidRPr="00AE1EC1" w:rsidTr="00594517">
        <w:trPr>
          <w:trHeight w:val="360"/>
        </w:trPr>
        <w:tc>
          <w:tcPr>
            <w:tcW w:w="4454" w:type="dxa"/>
          </w:tcPr>
          <w:p w:rsidR="00AE1EC1" w:rsidRPr="005125CA" w:rsidRDefault="00AE1EC1" w:rsidP="002A7AAC">
            <w:pPr>
              <w:pStyle w:val="Document1"/>
              <w:keepNext w:val="0"/>
              <w:keepLines w:val="0"/>
              <w:tabs>
                <w:tab w:val="clear" w:pos="-720"/>
                <w:tab w:val="left" w:pos="1472"/>
              </w:tabs>
              <w:ind w:left="55"/>
              <w:rPr>
                <w:rFonts w:asciiTheme="majorHAnsi" w:hAnsiTheme="majorHAnsi" w:cstheme="majorHAnsi"/>
                <w:sz w:val="18"/>
                <w:szCs w:val="18"/>
              </w:rPr>
            </w:pPr>
          </w:p>
          <w:p w:rsidR="002A7AAC" w:rsidRPr="005125CA" w:rsidRDefault="002A7AAC" w:rsidP="002A7AAC">
            <w:pPr>
              <w:pStyle w:val="Document1"/>
              <w:keepNext w:val="0"/>
              <w:keepLines w:val="0"/>
              <w:tabs>
                <w:tab w:val="clear" w:pos="-720"/>
                <w:tab w:val="left" w:pos="1472"/>
              </w:tabs>
              <w:ind w:left="55"/>
              <w:rPr>
                <w:rFonts w:asciiTheme="majorHAnsi" w:hAnsiTheme="majorHAnsi" w:cstheme="majorHAnsi"/>
                <w:sz w:val="18"/>
                <w:szCs w:val="18"/>
              </w:rPr>
            </w:pPr>
            <w:r w:rsidRPr="005125CA">
              <w:rPr>
                <w:rFonts w:asciiTheme="majorHAnsi" w:hAnsiTheme="majorHAnsi" w:cstheme="majorHAnsi"/>
                <w:sz w:val="18"/>
                <w:szCs w:val="18"/>
              </w:rPr>
              <w:t>ICTWEB201</w:t>
            </w:r>
            <w:r w:rsidRPr="005125CA">
              <w:rPr>
                <w:rFonts w:asciiTheme="majorHAnsi" w:hAnsiTheme="majorHAnsi" w:cstheme="majorHAnsi"/>
                <w:sz w:val="18"/>
                <w:szCs w:val="18"/>
              </w:rPr>
              <w:tab/>
              <w:t xml:space="preserve">Use social media tools for </w:t>
            </w:r>
            <w:r w:rsidRPr="005125CA">
              <w:rPr>
                <w:rFonts w:asciiTheme="majorHAnsi" w:hAnsiTheme="majorHAnsi" w:cstheme="majorHAnsi"/>
                <w:sz w:val="18"/>
                <w:szCs w:val="18"/>
              </w:rPr>
              <w:tab/>
              <w:t>collaboration and engagement</w:t>
            </w:r>
          </w:p>
          <w:p w:rsidR="00FF6A05" w:rsidRPr="005125CA" w:rsidRDefault="002A7AAC" w:rsidP="00FF6A05">
            <w:pPr>
              <w:pStyle w:val="Document1"/>
              <w:keepNext w:val="0"/>
              <w:keepLines w:val="0"/>
              <w:tabs>
                <w:tab w:val="clear" w:pos="-720"/>
                <w:tab w:val="left" w:pos="1472"/>
              </w:tabs>
              <w:ind w:left="55"/>
              <w:rPr>
                <w:rFonts w:asciiTheme="majorHAnsi" w:hAnsiTheme="majorHAnsi" w:cstheme="majorHAnsi"/>
                <w:sz w:val="18"/>
                <w:szCs w:val="18"/>
              </w:rPr>
            </w:pPr>
            <w:r w:rsidRPr="005125CA">
              <w:rPr>
                <w:rFonts w:asciiTheme="majorHAnsi" w:hAnsiTheme="majorHAnsi" w:cstheme="majorHAnsi"/>
                <w:sz w:val="18"/>
                <w:szCs w:val="18"/>
              </w:rPr>
              <w:t xml:space="preserve">ICTICT202 </w:t>
            </w:r>
            <w:r w:rsidRPr="005125CA">
              <w:rPr>
                <w:rFonts w:asciiTheme="majorHAnsi" w:hAnsiTheme="majorHAnsi" w:cstheme="majorHAnsi"/>
                <w:sz w:val="18"/>
                <w:szCs w:val="18"/>
              </w:rPr>
              <w:tab/>
              <w:t xml:space="preserve">Work and communicate </w:t>
            </w:r>
            <w:r w:rsidRPr="005125CA">
              <w:rPr>
                <w:rFonts w:asciiTheme="majorHAnsi" w:hAnsiTheme="majorHAnsi" w:cstheme="majorHAnsi"/>
                <w:sz w:val="18"/>
                <w:szCs w:val="18"/>
              </w:rPr>
              <w:tab/>
              <w:t xml:space="preserve">effectively in an ICT </w:t>
            </w:r>
            <w:r w:rsidRPr="005125CA">
              <w:rPr>
                <w:rFonts w:asciiTheme="majorHAnsi" w:hAnsiTheme="majorHAnsi" w:cstheme="majorHAnsi"/>
                <w:sz w:val="18"/>
                <w:szCs w:val="18"/>
              </w:rPr>
              <w:tab/>
              <w:t>environment</w:t>
            </w:r>
          </w:p>
          <w:p w:rsidR="00FF6A05" w:rsidRPr="005125CA" w:rsidRDefault="00FF6A05" w:rsidP="00FF6A05">
            <w:pPr>
              <w:pStyle w:val="Document1"/>
              <w:keepNext w:val="0"/>
              <w:keepLines w:val="0"/>
              <w:tabs>
                <w:tab w:val="clear" w:pos="-720"/>
                <w:tab w:val="left" w:pos="1472"/>
              </w:tabs>
              <w:rPr>
                <w:rFonts w:asciiTheme="majorHAnsi" w:hAnsiTheme="majorHAnsi" w:cstheme="majorHAnsi"/>
                <w:spacing w:val="-3"/>
                <w:sz w:val="18"/>
                <w:szCs w:val="18"/>
              </w:rPr>
            </w:pPr>
            <w:r w:rsidRPr="005125CA">
              <w:rPr>
                <w:rFonts w:asciiTheme="majorHAnsi" w:hAnsiTheme="majorHAnsi" w:cstheme="majorHAnsi"/>
                <w:sz w:val="18"/>
                <w:szCs w:val="18"/>
              </w:rPr>
              <w:t>ICTSAS206</w:t>
            </w:r>
            <w:r w:rsidRPr="005125CA">
              <w:rPr>
                <w:rFonts w:asciiTheme="majorHAnsi" w:hAnsiTheme="majorHAnsi" w:cstheme="majorHAnsi"/>
                <w:sz w:val="18"/>
                <w:szCs w:val="18"/>
              </w:rPr>
              <w:tab/>
              <w:t xml:space="preserve">Detect and protect from spam </w:t>
            </w:r>
            <w:r w:rsidRPr="005125CA">
              <w:rPr>
                <w:rFonts w:asciiTheme="majorHAnsi" w:hAnsiTheme="majorHAnsi" w:cstheme="majorHAnsi"/>
                <w:sz w:val="18"/>
                <w:szCs w:val="18"/>
              </w:rPr>
              <w:tab/>
              <w:t>and destructive software</w:t>
            </w:r>
            <w:r w:rsidRPr="005125CA">
              <w:rPr>
                <w:rFonts w:asciiTheme="majorHAnsi" w:hAnsiTheme="majorHAnsi" w:cstheme="majorHAnsi"/>
                <w:spacing w:val="-3"/>
                <w:sz w:val="18"/>
                <w:szCs w:val="18"/>
              </w:rPr>
              <w:t xml:space="preserve"> </w:t>
            </w:r>
          </w:p>
        </w:tc>
        <w:tc>
          <w:tcPr>
            <w:tcW w:w="4477" w:type="dxa"/>
          </w:tcPr>
          <w:p w:rsidR="00AE1EC1" w:rsidRPr="005125CA" w:rsidRDefault="00AE1EC1" w:rsidP="001060DA">
            <w:pPr>
              <w:pStyle w:val="Document1"/>
              <w:keepNext w:val="0"/>
              <w:keepLines w:val="0"/>
              <w:tabs>
                <w:tab w:val="clear" w:pos="-720"/>
                <w:tab w:val="left" w:pos="1284"/>
              </w:tabs>
              <w:rPr>
                <w:rFonts w:asciiTheme="majorHAnsi" w:hAnsiTheme="majorHAnsi" w:cstheme="majorHAnsi"/>
                <w:sz w:val="18"/>
                <w:szCs w:val="18"/>
              </w:rPr>
            </w:pPr>
          </w:p>
          <w:p w:rsidR="001060DA" w:rsidRPr="005125CA" w:rsidRDefault="001060DA" w:rsidP="00AE1EC1">
            <w:pPr>
              <w:pStyle w:val="Document1"/>
              <w:keepNext w:val="0"/>
              <w:keepLines w:val="0"/>
              <w:tabs>
                <w:tab w:val="clear" w:pos="-720"/>
                <w:tab w:val="left" w:pos="1284"/>
              </w:tabs>
              <w:rPr>
                <w:rFonts w:asciiTheme="majorHAnsi" w:hAnsiTheme="majorHAnsi" w:cstheme="majorHAnsi"/>
                <w:sz w:val="18"/>
                <w:szCs w:val="18"/>
              </w:rPr>
            </w:pPr>
            <w:r w:rsidRPr="005125CA">
              <w:rPr>
                <w:rFonts w:asciiTheme="majorHAnsi" w:hAnsiTheme="majorHAnsi" w:cstheme="majorHAnsi"/>
                <w:sz w:val="18"/>
                <w:szCs w:val="18"/>
              </w:rPr>
              <w:t>ICTSAS308</w:t>
            </w:r>
            <w:r w:rsidRPr="005125CA">
              <w:rPr>
                <w:rFonts w:asciiTheme="majorHAnsi" w:hAnsiTheme="majorHAnsi" w:cstheme="majorHAnsi"/>
                <w:sz w:val="18"/>
                <w:szCs w:val="18"/>
              </w:rPr>
              <w:tab/>
              <w:t>Run standard diagnostic tests</w:t>
            </w:r>
          </w:p>
          <w:p w:rsidR="001060DA" w:rsidRPr="005125CA" w:rsidRDefault="00AE1EC1" w:rsidP="00AE1EC1">
            <w:pPr>
              <w:pStyle w:val="TableBullet"/>
              <w:numPr>
                <w:ilvl w:val="0"/>
                <w:numId w:val="0"/>
              </w:numPr>
              <w:tabs>
                <w:tab w:val="left" w:pos="1284"/>
              </w:tabs>
              <w:spacing w:line="240" w:lineRule="auto"/>
              <w:ind w:left="170" w:hanging="194"/>
              <w:rPr>
                <w:rFonts w:asciiTheme="majorHAnsi" w:hAnsiTheme="majorHAnsi" w:cstheme="majorHAnsi"/>
                <w:color w:val="auto"/>
                <w:sz w:val="18"/>
                <w:szCs w:val="18"/>
              </w:rPr>
            </w:pPr>
            <w:r w:rsidRPr="005125CA">
              <w:rPr>
                <w:rFonts w:asciiTheme="majorHAnsi" w:hAnsiTheme="majorHAnsi" w:cstheme="majorHAnsi"/>
                <w:color w:val="auto"/>
                <w:sz w:val="18"/>
                <w:szCs w:val="18"/>
              </w:rPr>
              <w:t>CUADIG303</w:t>
            </w:r>
            <w:r w:rsidRPr="005125CA">
              <w:rPr>
                <w:rFonts w:asciiTheme="majorHAnsi" w:hAnsiTheme="majorHAnsi" w:cstheme="majorHAnsi"/>
                <w:color w:val="auto"/>
                <w:sz w:val="18"/>
                <w:szCs w:val="18"/>
              </w:rPr>
              <w:tab/>
            </w:r>
            <w:r w:rsidR="001060DA" w:rsidRPr="005125CA">
              <w:rPr>
                <w:rFonts w:asciiTheme="majorHAnsi" w:hAnsiTheme="majorHAnsi" w:cstheme="majorHAnsi"/>
                <w:color w:val="auto"/>
                <w:sz w:val="18"/>
                <w:szCs w:val="18"/>
              </w:rPr>
              <w:t xml:space="preserve">Produce and prepare photo </w:t>
            </w:r>
          </w:p>
          <w:p w:rsidR="001060DA" w:rsidRPr="005125CA" w:rsidRDefault="00AE1EC1" w:rsidP="00AE1EC1">
            <w:pPr>
              <w:pStyle w:val="TableBullet"/>
              <w:numPr>
                <w:ilvl w:val="0"/>
                <w:numId w:val="0"/>
              </w:numPr>
              <w:tabs>
                <w:tab w:val="left" w:pos="1284"/>
              </w:tabs>
              <w:spacing w:line="240" w:lineRule="auto"/>
              <w:ind w:left="170" w:hanging="194"/>
              <w:rPr>
                <w:rFonts w:asciiTheme="majorHAnsi" w:hAnsiTheme="majorHAnsi" w:cstheme="majorHAnsi"/>
                <w:color w:val="auto"/>
                <w:sz w:val="18"/>
                <w:szCs w:val="18"/>
                <w:lang w:val="fr-FR"/>
              </w:rPr>
            </w:pPr>
            <w:r w:rsidRPr="005125CA">
              <w:rPr>
                <w:rFonts w:asciiTheme="majorHAnsi" w:hAnsiTheme="majorHAnsi" w:cstheme="majorHAnsi"/>
                <w:color w:val="auto"/>
                <w:sz w:val="18"/>
                <w:szCs w:val="18"/>
                <w:lang w:val="fr-FR"/>
              </w:rPr>
              <w:t>ICPDMT321</w:t>
            </w:r>
            <w:r w:rsidRPr="005125CA">
              <w:rPr>
                <w:rFonts w:asciiTheme="majorHAnsi" w:hAnsiTheme="majorHAnsi" w:cstheme="majorHAnsi"/>
                <w:color w:val="auto"/>
                <w:sz w:val="18"/>
                <w:szCs w:val="18"/>
                <w:lang w:val="fr-FR"/>
              </w:rPr>
              <w:tab/>
            </w:r>
            <w:r w:rsidR="001060DA" w:rsidRPr="005125CA">
              <w:rPr>
                <w:rFonts w:asciiTheme="majorHAnsi" w:hAnsiTheme="majorHAnsi" w:cstheme="majorHAnsi"/>
                <w:color w:val="auto"/>
                <w:sz w:val="18"/>
                <w:szCs w:val="18"/>
                <w:lang w:val="fr-FR"/>
              </w:rPr>
              <w:t xml:space="preserve">Capture a digital image </w:t>
            </w:r>
          </w:p>
          <w:p w:rsidR="001060DA" w:rsidRPr="005125CA" w:rsidRDefault="00AE1EC1" w:rsidP="00AE1EC1">
            <w:pPr>
              <w:pStyle w:val="TableBullet"/>
              <w:numPr>
                <w:ilvl w:val="0"/>
                <w:numId w:val="0"/>
              </w:numPr>
              <w:tabs>
                <w:tab w:val="left" w:pos="1284"/>
              </w:tabs>
              <w:spacing w:line="240" w:lineRule="auto"/>
              <w:ind w:left="170" w:hanging="194"/>
              <w:rPr>
                <w:rFonts w:asciiTheme="majorHAnsi" w:hAnsiTheme="majorHAnsi" w:cstheme="majorHAnsi"/>
                <w:i/>
                <w:sz w:val="18"/>
                <w:szCs w:val="18"/>
              </w:rPr>
            </w:pPr>
            <w:r w:rsidRPr="005125CA">
              <w:rPr>
                <w:rFonts w:asciiTheme="majorHAnsi" w:hAnsiTheme="majorHAnsi" w:cstheme="majorHAnsi"/>
                <w:sz w:val="18"/>
                <w:szCs w:val="18"/>
              </w:rPr>
              <w:t>ICTICT210</w:t>
            </w:r>
            <w:r w:rsidRPr="005125CA">
              <w:rPr>
                <w:rFonts w:asciiTheme="majorHAnsi" w:hAnsiTheme="majorHAnsi" w:cstheme="majorHAnsi"/>
                <w:sz w:val="18"/>
                <w:szCs w:val="18"/>
              </w:rPr>
              <w:tab/>
            </w:r>
            <w:r w:rsidR="001060DA" w:rsidRPr="005125CA">
              <w:rPr>
                <w:rFonts w:asciiTheme="majorHAnsi" w:hAnsiTheme="majorHAnsi" w:cstheme="majorHAnsi"/>
                <w:sz w:val="18"/>
                <w:szCs w:val="18"/>
              </w:rPr>
              <w:t>Operate database applications</w:t>
            </w:r>
            <w:r w:rsidR="001060DA" w:rsidRPr="005125CA">
              <w:rPr>
                <w:rFonts w:asciiTheme="majorHAnsi" w:hAnsiTheme="majorHAnsi" w:cstheme="majorHAnsi"/>
                <w:i/>
                <w:sz w:val="18"/>
                <w:szCs w:val="18"/>
              </w:rPr>
              <w:t xml:space="preserve"> </w:t>
            </w:r>
          </w:p>
        </w:tc>
      </w:tr>
    </w:tbl>
    <w:p w:rsidR="002227CB" w:rsidRPr="00AE1EC1" w:rsidRDefault="002227CB" w:rsidP="00425207">
      <w:pPr>
        <w:spacing w:after="3"/>
        <w:ind w:left="-5" w:right="46"/>
        <w:rPr>
          <w:b/>
        </w:rPr>
      </w:pPr>
    </w:p>
    <w:p w:rsidR="00425207" w:rsidRDefault="00425207" w:rsidP="00425207">
      <w:pPr>
        <w:spacing w:after="3"/>
        <w:ind w:left="-5" w:right="46"/>
      </w:pPr>
      <w:r>
        <w:rPr>
          <w:b/>
        </w:rPr>
        <w:t xml:space="preserve">LEARNING EXPERIENCES:   </w:t>
      </w:r>
      <w:r>
        <w:t xml:space="preserve">A range of teaching and learning strategies will be used to deliver the competencies.  These include: </w:t>
      </w:r>
    </w:p>
    <w:p w:rsidR="00425207" w:rsidRDefault="00425207" w:rsidP="00EF1C54">
      <w:pPr>
        <w:numPr>
          <w:ilvl w:val="0"/>
          <w:numId w:val="35"/>
        </w:numPr>
        <w:spacing w:line="260" w:lineRule="auto"/>
        <w:ind w:right="46" w:hanging="283"/>
      </w:pPr>
      <w:r>
        <w:t xml:space="preserve">Practical tasks </w:t>
      </w:r>
    </w:p>
    <w:p w:rsidR="00425207" w:rsidRDefault="00425207" w:rsidP="00EF1C54">
      <w:pPr>
        <w:numPr>
          <w:ilvl w:val="0"/>
          <w:numId w:val="35"/>
        </w:numPr>
        <w:spacing w:line="260" w:lineRule="auto"/>
        <w:ind w:right="46" w:hanging="283"/>
      </w:pPr>
      <w:r>
        <w:t xml:space="preserve">Group work  </w:t>
      </w:r>
    </w:p>
    <w:p w:rsidR="00425207" w:rsidRDefault="00425207" w:rsidP="00EF1C54">
      <w:pPr>
        <w:numPr>
          <w:ilvl w:val="0"/>
          <w:numId w:val="35"/>
        </w:numPr>
        <w:spacing w:line="260" w:lineRule="auto"/>
        <w:ind w:right="46" w:hanging="283"/>
      </w:pPr>
      <w:r>
        <w:t xml:space="preserve">Activities in simulated work environments </w:t>
      </w:r>
    </w:p>
    <w:p w:rsidR="00425207" w:rsidRDefault="00425207" w:rsidP="00425207">
      <w:pPr>
        <w:spacing w:after="2" w:line="259" w:lineRule="auto"/>
      </w:pPr>
      <w:r>
        <w:t xml:space="preserve"> </w:t>
      </w:r>
    </w:p>
    <w:p w:rsidR="00425207" w:rsidRDefault="00425207" w:rsidP="00425207">
      <w:pPr>
        <w:spacing w:after="3"/>
        <w:ind w:left="-5" w:right="46"/>
      </w:pPr>
      <w:r>
        <w:rPr>
          <w:b/>
        </w:rPr>
        <w:t xml:space="preserve">ASSESSMENT:    </w:t>
      </w:r>
      <w:r>
        <w:t xml:space="preserve">Assessment is competency based and therefore no levels of achievement are awarded.  Assessment for this qualification is continuous and units of competency have been clustered into groups and assessed this way.  Assessment includes observation, portfolios, questioning. </w:t>
      </w:r>
    </w:p>
    <w:p w:rsidR="00425207" w:rsidRDefault="00425207" w:rsidP="00425207">
      <w:pPr>
        <w:spacing w:after="4" w:line="259" w:lineRule="auto"/>
      </w:pPr>
      <w:r>
        <w:t xml:space="preserve"> </w:t>
      </w:r>
    </w:p>
    <w:p w:rsidR="00425207" w:rsidRDefault="00425207" w:rsidP="00425207">
      <w:pPr>
        <w:spacing w:after="3"/>
        <w:ind w:left="-5" w:right="46"/>
      </w:pPr>
      <w:r>
        <w:rPr>
          <w:b/>
        </w:rPr>
        <w:t xml:space="preserve">PATHWAYS: </w:t>
      </w:r>
      <w:r>
        <w:t xml:space="preserve"> This entry level qualification provides the foundation skills and knowledge to use information and communications technology (ICT) in any industry. This qualification provides basic digital literacy skills to support a wide range of varying industry occupations in areas such as business and administration.  Once completed successfully, students may undertake a range of other Certificate III qualifications. </w:t>
      </w:r>
    </w:p>
    <w:p w:rsidR="00425207" w:rsidRDefault="00425207" w:rsidP="00425207">
      <w:pPr>
        <w:spacing w:after="4" w:line="259" w:lineRule="auto"/>
      </w:pPr>
      <w:r>
        <w:t xml:space="preserve"> </w:t>
      </w:r>
    </w:p>
    <w:p w:rsidR="00425207" w:rsidRDefault="005125CA" w:rsidP="00425207">
      <w:pPr>
        <w:spacing w:after="4"/>
        <w:ind w:left="-5" w:right="46"/>
      </w:pPr>
      <w:r>
        <w:rPr>
          <w:b/>
        </w:rPr>
        <w:t>FEES</w:t>
      </w:r>
      <w:r w:rsidR="00425207">
        <w:rPr>
          <w:b/>
        </w:rPr>
        <w:t>:</w:t>
      </w:r>
      <w:r w:rsidR="00425207">
        <w:t xml:space="preserve">   Nil </w:t>
      </w:r>
    </w:p>
    <w:p w:rsidR="00425207" w:rsidRDefault="00425207" w:rsidP="00425207">
      <w:pPr>
        <w:spacing w:after="2" w:line="259" w:lineRule="auto"/>
      </w:pPr>
      <w:r>
        <w:t xml:space="preserve"> </w:t>
      </w:r>
    </w:p>
    <w:p w:rsidR="00425207" w:rsidRDefault="00425207" w:rsidP="00425207">
      <w:pPr>
        <w:spacing w:after="2" w:line="259" w:lineRule="auto"/>
        <w:ind w:left="-5"/>
      </w:pPr>
      <w:r>
        <w:rPr>
          <w:b/>
        </w:rPr>
        <w:t>MINIMUM SUGGESTED WEELKY HOMEWORK TIME</w:t>
      </w:r>
      <w:r>
        <w:t xml:space="preserve">: 1 hour </w:t>
      </w:r>
    </w:p>
    <w:p w:rsidR="00425207" w:rsidRDefault="00425207" w:rsidP="00425207">
      <w:pPr>
        <w:spacing w:after="4" w:line="259" w:lineRule="auto"/>
      </w:pPr>
      <w:r>
        <w:t xml:space="preserve"> </w:t>
      </w:r>
    </w:p>
    <w:p w:rsidR="00425207" w:rsidRDefault="00425207" w:rsidP="00425207">
      <w:pPr>
        <w:spacing w:after="2"/>
        <w:ind w:left="-5" w:right="46"/>
      </w:pPr>
      <w:r>
        <w:rPr>
          <w:b/>
        </w:rPr>
        <w:t xml:space="preserve">FURTHER INFORMATION: </w:t>
      </w:r>
      <w:r>
        <w:t xml:space="preserve">  Contact the Business HOD Mrs Carolyn Young, </w:t>
      </w:r>
      <w:r>
        <w:rPr>
          <w:color w:val="0000FF"/>
        </w:rPr>
        <w:t>cyoun85@eq.edu.au</w:t>
      </w:r>
      <w:r>
        <w:t xml:space="preserve">  For information regarding support services and other general VET information please contact the VET HOD, Mrs Sally Munns – </w:t>
      </w:r>
      <w:r>
        <w:rPr>
          <w:color w:val="0000FF"/>
        </w:rPr>
        <w:t>smunn6@eq.edu.au</w:t>
      </w:r>
      <w:r>
        <w:t xml:space="preserve">.  Students will be provided with access to a Student VET Handbook. </w:t>
      </w:r>
    </w:p>
    <w:p w:rsidR="005125CA" w:rsidRDefault="00425207" w:rsidP="00425207">
      <w:pPr>
        <w:spacing w:after="4" w:line="259" w:lineRule="auto"/>
      </w:pPr>
      <w:r>
        <w:t xml:space="preserve"> </w:t>
      </w:r>
    </w:p>
    <w:p w:rsidR="005125CA" w:rsidRDefault="005125CA">
      <w:r>
        <w:br w:type="page"/>
      </w:r>
    </w:p>
    <w:p w:rsidR="00425207" w:rsidRDefault="00425207" w:rsidP="00425207">
      <w:pPr>
        <w:spacing w:after="4" w:line="259" w:lineRule="auto"/>
      </w:pPr>
    </w:p>
    <w:p w:rsidR="00425207" w:rsidRDefault="00425207" w:rsidP="00425207">
      <w:pPr>
        <w:spacing w:after="2"/>
        <w:ind w:left="-5" w:right="46"/>
      </w:pPr>
      <w:r>
        <w:rPr>
          <w:b/>
        </w:rPr>
        <w:t>SERVICE AGREEMENT:</w:t>
      </w:r>
      <w:r>
        <w:t xml:space="preserve">   This is a two year course.  The RTO guarantees that the student will be provided with every opportunity to complete the certificate as per the rights and obligations outlined in the enrolment process and information handbooks provided.  If the certificate course is no longer offered through our school, arrangements will be made for the student to complete this through an outside RTO.  Students successfully achieving all qualifications requirements will be provided with a Qualification Certificate and record of results.  Students who achieve at least one unit (but not the full qualification) will receive a Statement of Attainment.  We have a complaints and appeals policy available of the Pioneer SHS website. </w:t>
      </w:r>
    </w:p>
    <w:p w:rsidR="00425207" w:rsidRDefault="00425207" w:rsidP="00425207">
      <w:pPr>
        <w:spacing w:after="4" w:line="259" w:lineRule="auto"/>
      </w:pPr>
      <w:r>
        <w:t xml:space="preserve"> </w:t>
      </w:r>
    </w:p>
    <w:p w:rsidR="00425207" w:rsidRDefault="00425207" w:rsidP="005B6F69">
      <w:pPr>
        <w:pStyle w:val="ListBullet2"/>
        <w:numPr>
          <w:ilvl w:val="0"/>
          <w:numId w:val="0"/>
        </w:numPr>
      </w:pPr>
      <w:r>
        <w:t>Correct at time of publication (</w:t>
      </w:r>
      <w:r w:rsidR="00E42350">
        <w:t>8 August 2019)</w:t>
      </w:r>
      <w:r>
        <w:t xml:space="preserve"> but subject to change.  </w:t>
      </w:r>
    </w:p>
    <w:p w:rsidR="00425207" w:rsidRDefault="00425207" w:rsidP="00425207">
      <w:pPr>
        <w:spacing w:after="2" w:line="259" w:lineRule="auto"/>
      </w:pPr>
      <w:r>
        <w:t xml:space="preserve"> </w:t>
      </w:r>
    </w:p>
    <w:p w:rsidR="00425207" w:rsidRDefault="00425207" w:rsidP="00425207">
      <w:pPr>
        <w:spacing w:after="4" w:line="259" w:lineRule="auto"/>
      </w:pPr>
      <w:r>
        <w:t xml:space="preserve"> </w:t>
      </w:r>
    </w:p>
    <w:p w:rsidR="00425207" w:rsidRDefault="00425207" w:rsidP="00425207">
      <w:pPr>
        <w:spacing w:after="4" w:line="259" w:lineRule="auto"/>
      </w:pPr>
      <w:r>
        <w:t xml:space="preserve"> </w:t>
      </w:r>
    </w:p>
    <w:p w:rsidR="00425207" w:rsidRDefault="00425207" w:rsidP="00425207">
      <w:pPr>
        <w:spacing w:after="2" w:line="259" w:lineRule="auto"/>
      </w:pPr>
      <w:r>
        <w:t xml:space="preserve"> </w:t>
      </w:r>
    </w:p>
    <w:p w:rsidR="00425207" w:rsidRDefault="00425207" w:rsidP="00425207">
      <w:pPr>
        <w:spacing w:after="4" w:line="259" w:lineRule="auto"/>
      </w:pPr>
      <w:r>
        <w:t xml:space="preserve"> </w:t>
      </w:r>
    </w:p>
    <w:p w:rsidR="00425207" w:rsidRDefault="00425207" w:rsidP="00547419">
      <w:pPr>
        <w:spacing w:after="4" w:line="259" w:lineRule="auto"/>
      </w:pPr>
      <w:r>
        <w:t xml:space="preserve">  </w:t>
      </w:r>
    </w:p>
    <w:p w:rsidR="005125CA" w:rsidRDefault="005125CA">
      <w:pPr>
        <w:rPr>
          <w:rStyle w:val="Heading1Char"/>
          <w:szCs w:val="28"/>
        </w:rPr>
      </w:pPr>
      <w:bookmarkStart w:id="341" w:name="_Toc16163691"/>
      <w:r>
        <w:rPr>
          <w:rStyle w:val="Heading1Char"/>
          <w:b w:val="0"/>
        </w:rPr>
        <w:br w:type="page"/>
      </w:r>
    </w:p>
    <w:p w:rsidR="005B6F69" w:rsidRDefault="007128D0" w:rsidP="005125CA">
      <w:pPr>
        <w:pStyle w:val="Heading2"/>
        <w:rPr>
          <w:rStyle w:val="Heading1Char"/>
          <w:b/>
          <w:szCs w:val="44"/>
        </w:rPr>
      </w:pPr>
      <w:bookmarkStart w:id="342" w:name="_Toc16206745"/>
      <w:r>
        <w:rPr>
          <w:rFonts w:eastAsia="Arial" w:cs="Arial"/>
          <w:b w:val="0"/>
          <w:noProof/>
          <w:color w:val="6D6F70"/>
          <w:sz w:val="28"/>
          <w:lang w:eastAsia="zh-TW"/>
        </w:rPr>
        <w:drawing>
          <wp:anchor distT="0" distB="0" distL="114300" distR="114300" simplePos="0" relativeHeight="251660288" behindDoc="1" locked="0" layoutInCell="1" allowOverlap="1">
            <wp:simplePos x="0" y="0"/>
            <wp:positionH relativeFrom="column">
              <wp:posOffset>5271135</wp:posOffset>
            </wp:positionH>
            <wp:positionV relativeFrom="paragraph">
              <wp:posOffset>370205</wp:posOffset>
            </wp:positionV>
            <wp:extent cx="767080"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67080" cy="652145"/>
                    </a:xfrm>
                    <a:prstGeom prst="rect">
                      <a:avLst/>
                    </a:prstGeom>
                    <a:noFill/>
                  </pic:spPr>
                </pic:pic>
              </a:graphicData>
            </a:graphic>
          </wp:anchor>
        </w:drawing>
      </w:r>
      <w:r w:rsidR="005125CA" w:rsidRPr="005125CA">
        <w:rPr>
          <w:color w:val="000000"/>
          <w:sz w:val="44"/>
          <w:szCs w:val="44"/>
        </w:rPr>
        <w:t>SIT20316</w:t>
      </w:r>
      <w:r w:rsidR="005125CA">
        <w:rPr>
          <w:color w:val="000000"/>
        </w:rPr>
        <w:t xml:space="preserve"> </w:t>
      </w:r>
      <w:r w:rsidR="00425207" w:rsidRPr="005125CA">
        <w:rPr>
          <w:rStyle w:val="Heading1Char"/>
          <w:b/>
          <w:szCs w:val="44"/>
        </w:rPr>
        <w:t>CERTIFICATE II IN HOSPITALITY</w:t>
      </w:r>
      <w:bookmarkEnd w:id="342"/>
    </w:p>
    <w:p w:rsidR="005B6F69" w:rsidRPr="005B6F69" w:rsidRDefault="005B6F69" w:rsidP="005B6F69">
      <w:pPr>
        <w:pStyle w:val="BodyText"/>
      </w:pPr>
      <w:r w:rsidRPr="008255B5">
        <w:rPr>
          <w:rFonts w:eastAsia="Arial" w:cs="Arial"/>
          <w:b/>
          <w:color w:val="6D6F70"/>
          <w:sz w:val="28"/>
        </w:rPr>
        <w:t>Pa</w:t>
      </w:r>
      <w:r>
        <w:rPr>
          <w:rFonts w:eastAsia="Arial" w:cs="Arial"/>
          <w:b/>
          <w:color w:val="6D6F70"/>
          <w:sz w:val="28"/>
        </w:rPr>
        <w:t>rtnership with Club Training Australia</w:t>
      </w:r>
      <w:r w:rsidRPr="008255B5">
        <w:rPr>
          <w:rFonts w:eastAsia="Arial" w:cs="Arial"/>
          <w:b/>
          <w:color w:val="6D6F70"/>
          <w:sz w:val="28"/>
        </w:rPr>
        <w:t xml:space="preserve"> (RTO Code: </w:t>
      </w:r>
      <w:r w:rsidRPr="005B6F69">
        <w:rPr>
          <w:rFonts w:eastAsia="Arial" w:cs="Arial"/>
          <w:b/>
          <w:color w:val="6D6F70"/>
          <w:sz w:val="28"/>
        </w:rPr>
        <w:t>31607</w:t>
      </w:r>
      <w:r>
        <w:rPr>
          <w:rFonts w:eastAsia="Arial" w:cs="Arial"/>
          <w:b/>
          <w:color w:val="6D6F70"/>
          <w:sz w:val="28"/>
        </w:rPr>
        <w:t>)</w:t>
      </w:r>
    </w:p>
    <w:bookmarkEnd w:id="341"/>
    <w:p w:rsidR="00425207" w:rsidRPr="007128D0" w:rsidRDefault="00425207" w:rsidP="005B6F69">
      <w:pPr>
        <w:pStyle w:val="Heading2"/>
        <w:rPr>
          <w:b w:val="0"/>
          <w:sz w:val="21"/>
        </w:rPr>
      </w:pPr>
      <w:r w:rsidRPr="007128D0">
        <w:rPr>
          <w:sz w:val="21"/>
        </w:rPr>
        <w:t>SUBJECT TYPE:</w:t>
      </w:r>
      <w:r w:rsidR="005125CA" w:rsidRPr="007128D0">
        <w:rPr>
          <w:sz w:val="21"/>
        </w:rPr>
        <w:t xml:space="preserve"> VET   </w:t>
      </w:r>
      <w:r w:rsidR="005125CA" w:rsidRPr="007128D0">
        <w:rPr>
          <w:sz w:val="21"/>
        </w:rPr>
        <w:tab/>
        <w:t xml:space="preserve"> </w:t>
      </w:r>
      <w:r w:rsidRPr="007128D0">
        <w:rPr>
          <w:sz w:val="21"/>
        </w:rPr>
        <w:t>DURATION:</w:t>
      </w:r>
      <w:r w:rsidR="005125CA" w:rsidRPr="007128D0">
        <w:rPr>
          <w:sz w:val="21"/>
        </w:rPr>
        <w:t xml:space="preserve">  Two years  </w:t>
      </w:r>
      <w:r w:rsidR="005125CA" w:rsidRPr="007128D0">
        <w:rPr>
          <w:sz w:val="21"/>
        </w:rPr>
        <w:tab/>
        <w:t xml:space="preserve"> </w:t>
      </w:r>
      <w:r w:rsidRPr="007128D0">
        <w:rPr>
          <w:sz w:val="21"/>
        </w:rPr>
        <w:t xml:space="preserve">4 QCE Points Possible </w:t>
      </w:r>
    </w:p>
    <w:p w:rsidR="005125CA" w:rsidRPr="007128D0" w:rsidRDefault="005125CA" w:rsidP="005125CA">
      <w:pPr>
        <w:tabs>
          <w:tab w:val="right" w:pos="8931"/>
        </w:tabs>
        <w:spacing w:after="2" w:line="259" w:lineRule="auto"/>
        <w:ind w:left="-15"/>
      </w:pPr>
    </w:p>
    <w:p w:rsidR="00425207" w:rsidRDefault="00425207" w:rsidP="005125CA">
      <w:pPr>
        <w:tabs>
          <w:tab w:val="right" w:pos="8931"/>
        </w:tabs>
        <w:spacing w:after="4"/>
        <w:ind w:left="-5" w:right="46"/>
      </w:pPr>
      <w:r>
        <w:rPr>
          <w:b/>
        </w:rPr>
        <w:t xml:space="preserve">ENTRY REQUIREMENTS: </w:t>
      </w:r>
      <w:r w:rsidR="005125CA">
        <w:t xml:space="preserve">   Nil </w:t>
      </w:r>
      <w:r w:rsidR="005125CA">
        <w:tab/>
      </w:r>
      <w:r>
        <w:rPr>
          <w:b/>
        </w:rPr>
        <w:t>DELIVERED:</w:t>
      </w:r>
      <w:r>
        <w:t xml:space="preserve">  On site at Pioneer SHS </w:t>
      </w:r>
    </w:p>
    <w:p w:rsidR="00425207" w:rsidRDefault="00425207" w:rsidP="00425207">
      <w:pPr>
        <w:spacing w:after="4" w:line="259" w:lineRule="auto"/>
      </w:pPr>
      <w:r>
        <w:rPr>
          <w:b/>
        </w:rPr>
        <w:t xml:space="preserve"> </w:t>
      </w:r>
    </w:p>
    <w:p w:rsidR="00425207" w:rsidRDefault="00425207" w:rsidP="002A048C">
      <w:pPr>
        <w:tabs>
          <w:tab w:val="left" w:pos="1843"/>
        </w:tabs>
        <w:spacing w:after="3"/>
        <w:ind w:left="-5" w:right="46"/>
      </w:pPr>
      <w:r>
        <w:rPr>
          <w:b/>
        </w:rPr>
        <w:t>SUBJECT TYPE:</w:t>
      </w:r>
      <w:r>
        <w:t xml:space="preserve">    VET-partnership with Club Training Australia (RTO 31607) and Pioneer SHS </w:t>
      </w:r>
      <w:r w:rsidR="002A048C">
        <w:tab/>
      </w:r>
      <w:r>
        <w:t xml:space="preserve">(RTO 30424) </w:t>
      </w:r>
    </w:p>
    <w:p w:rsidR="00425207" w:rsidRDefault="00425207" w:rsidP="00425207">
      <w:pPr>
        <w:spacing w:after="4" w:line="259" w:lineRule="auto"/>
      </w:pPr>
      <w:r>
        <w:rPr>
          <w:b/>
        </w:rPr>
        <w:t xml:space="preserve"> </w:t>
      </w:r>
    </w:p>
    <w:p w:rsidR="00425207" w:rsidRDefault="00425207" w:rsidP="00425207">
      <w:pPr>
        <w:ind w:left="-5" w:right="46"/>
      </w:pPr>
      <w:r>
        <w:t>May also utilise Commercial kitchens at other venues.</w:t>
      </w:r>
      <w:r>
        <w:rPr>
          <w:b/>
        </w:rPr>
        <w:t xml:space="preserve"> </w:t>
      </w:r>
    </w:p>
    <w:p w:rsidR="00425207" w:rsidRDefault="00425207" w:rsidP="00425207">
      <w:pPr>
        <w:spacing w:after="84" w:line="259" w:lineRule="auto"/>
      </w:pPr>
      <w:r>
        <w:rPr>
          <w:sz w:val="12"/>
        </w:rPr>
        <w:t xml:space="preserve"> </w:t>
      </w:r>
    </w:p>
    <w:p w:rsidR="00425207" w:rsidRDefault="00425207" w:rsidP="00425207">
      <w:pPr>
        <w:spacing w:after="3"/>
        <w:ind w:left="-5" w:right="46"/>
      </w:pPr>
      <w:r>
        <w:rPr>
          <w:b/>
        </w:rPr>
        <w:t xml:space="preserve">ENTRY REQUIREMENTS: </w:t>
      </w:r>
      <w:r>
        <w:t xml:space="preserve">  Nil, though an interest in the Hospitality Industry and a desire to serve customers is essential.  Work placement (12 shifts) is compulsory.  The Cert II Hospitality component of this course is delivered in partnership with Club Training Australia. RTO – 31607. The qualification utilises VETiS (Vocational Education and Training in Schools) funding.  This allows students to access this course at no cost, however students should be aware that they can only select one (1) VETIS funded course whilst at school.   </w:t>
      </w:r>
    </w:p>
    <w:p w:rsidR="00425207" w:rsidRDefault="00425207" w:rsidP="00425207">
      <w:pPr>
        <w:spacing w:after="4" w:line="259" w:lineRule="auto"/>
      </w:pPr>
      <w:r>
        <w:rPr>
          <w:b/>
        </w:rPr>
        <w:t xml:space="preserve"> </w:t>
      </w:r>
    </w:p>
    <w:p w:rsidR="00425207" w:rsidRDefault="00425207" w:rsidP="00425207">
      <w:pPr>
        <w:spacing w:after="2" w:line="259" w:lineRule="auto"/>
        <w:ind w:left="-5"/>
      </w:pPr>
      <w:r>
        <w:rPr>
          <w:b/>
        </w:rPr>
        <w:t xml:space="preserve">QUALIFICATION PACKAGING RULES:   </w:t>
      </w:r>
    </w:p>
    <w:p w:rsidR="00425207" w:rsidRDefault="00425207" w:rsidP="00425207">
      <w:pPr>
        <w:spacing w:after="4" w:line="259" w:lineRule="auto"/>
      </w:pPr>
    </w:p>
    <w:p w:rsidR="00425207" w:rsidRDefault="00425207" w:rsidP="00425207">
      <w:pPr>
        <w:spacing w:after="2" w:line="259" w:lineRule="auto"/>
        <w:ind w:left="-5"/>
      </w:pPr>
      <w:r>
        <w:rPr>
          <w:b/>
        </w:rPr>
        <w:t xml:space="preserve">Cert II Hospitality SIT20316 (Status – Current) </w:t>
      </w:r>
    </w:p>
    <w:p w:rsidR="00425207" w:rsidRDefault="00425207" w:rsidP="00425207">
      <w:pPr>
        <w:ind w:left="-5" w:right="3065"/>
      </w:pPr>
      <w:r>
        <w:rPr>
          <w:b/>
        </w:rPr>
        <w:t xml:space="preserve">Total number of units </w:t>
      </w:r>
      <w:r>
        <w:t xml:space="preserve">= 12 (6 Core units &amp; 6 elective units) </w:t>
      </w:r>
      <w:r>
        <w:rPr>
          <w:sz w:val="19"/>
        </w:rPr>
        <w:t xml:space="preserve">Core Units </w:t>
      </w:r>
    </w:p>
    <w:tbl>
      <w:tblPr>
        <w:tblStyle w:val="TableGrid0"/>
        <w:tblW w:w="8473" w:type="dxa"/>
        <w:tblInd w:w="0" w:type="dxa"/>
        <w:tblCellMar>
          <w:top w:w="23" w:type="dxa"/>
        </w:tblCellMar>
        <w:tblLook w:val="04A0" w:firstRow="1" w:lastRow="0" w:firstColumn="1" w:lastColumn="0" w:noHBand="0" w:noVBand="1"/>
      </w:tblPr>
      <w:tblGrid>
        <w:gridCol w:w="2273"/>
        <w:gridCol w:w="6200"/>
      </w:tblGrid>
      <w:tr w:rsidR="00425207" w:rsidTr="00425207">
        <w:trPr>
          <w:trHeight w:val="243"/>
        </w:trPr>
        <w:tc>
          <w:tcPr>
            <w:tcW w:w="2273" w:type="dxa"/>
            <w:tcBorders>
              <w:top w:val="nil"/>
              <w:left w:val="nil"/>
              <w:bottom w:val="nil"/>
              <w:right w:val="nil"/>
            </w:tcBorders>
          </w:tcPr>
          <w:p w:rsidR="00425207" w:rsidRDefault="00425207" w:rsidP="00425207">
            <w:pPr>
              <w:tabs>
                <w:tab w:val="center" w:pos="332"/>
                <w:tab w:val="center" w:pos="1286"/>
              </w:tabs>
              <w:spacing w:line="259" w:lineRule="auto"/>
            </w:pPr>
            <w:r>
              <w:rPr>
                <w:rFonts w:ascii="Calibri" w:eastAsia="Calibri" w:hAnsi="Calibri" w:cs="Calibri"/>
              </w:rPr>
              <w:tab/>
            </w:r>
            <w:r>
              <w:rPr>
                <w:rFonts w:ascii="Segoe UI Symbol" w:eastAsia="Segoe UI Symbol" w:hAnsi="Segoe UI Symbol" w:cs="Segoe UI Symbol"/>
              </w:rPr>
              <w:t>•</w:t>
            </w:r>
            <w:r>
              <w:t xml:space="preserve"> </w:t>
            </w:r>
            <w:r>
              <w:tab/>
              <w:t xml:space="preserve">BSBWOR203  </w:t>
            </w:r>
          </w:p>
        </w:tc>
        <w:tc>
          <w:tcPr>
            <w:tcW w:w="6200" w:type="dxa"/>
            <w:tcBorders>
              <w:top w:val="nil"/>
              <w:left w:val="nil"/>
              <w:bottom w:val="nil"/>
              <w:right w:val="nil"/>
            </w:tcBorders>
          </w:tcPr>
          <w:p w:rsidR="00425207" w:rsidRDefault="00425207" w:rsidP="00425207">
            <w:pPr>
              <w:spacing w:line="259" w:lineRule="auto"/>
            </w:pPr>
            <w:r>
              <w:t xml:space="preserve">Work effectively with others </w:t>
            </w:r>
          </w:p>
        </w:tc>
      </w:tr>
      <w:tr w:rsidR="00425207" w:rsidTr="00425207">
        <w:trPr>
          <w:trHeight w:val="256"/>
        </w:trPr>
        <w:tc>
          <w:tcPr>
            <w:tcW w:w="2273" w:type="dxa"/>
            <w:tcBorders>
              <w:top w:val="nil"/>
              <w:left w:val="nil"/>
              <w:bottom w:val="nil"/>
              <w:right w:val="nil"/>
            </w:tcBorders>
          </w:tcPr>
          <w:p w:rsidR="00425207" w:rsidRDefault="00425207" w:rsidP="00425207">
            <w:pPr>
              <w:tabs>
                <w:tab w:val="center" w:pos="332"/>
                <w:tab w:val="center" w:pos="1239"/>
              </w:tabs>
              <w:spacing w:line="259" w:lineRule="auto"/>
            </w:pPr>
            <w:r>
              <w:rPr>
                <w:rFonts w:ascii="Calibri" w:eastAsia="Calibri" w:hAnsi="Calibri" w:cs="Calibri"/>
              </w:rPr>
              <w:tab/>
            </w:r>
            <w:r>
              <w:rPr>
                <w:rFonts w:ascii="Segoe UI Symbol" w:eastAsia="Segoe UI Symbol" w:hAnsi="Segoe UI Symbol" w:cs="Segoe UI Symbol"/>
              </w:rPr>
              <w:t>•</w:t>
            </w:r>
            <w:r>
              <w:t xml:space="preserve"> </w:t>
            </w:r>
            <w:r>
              <w:tab/>
              <w:t xml:space="preserve">SITHIND002  </w:t>
            </w:r>
          </w:p>
        </w:tc>
        <w:tc>
          <w:tcPr>
            <w:tcW w:w="6200" w:type="dxa"/>
            <w:tcBorders>
              <w:top w:val="nil"/>
              <w:left w:val="nil"/>
              <w:bottom w:val="nil"/>
              <w:right w:val="nil"/>
            </w:tcBorders>
          </w:tcPr>
          <w:p w:rsidR="00425207" w:rsidRDefault="00425207" w:rsidP="00425207">
            <w:pPr>
              <w:spacing w:line="259" w:lineRule="auto"/>
            </w:pPr>
            <w:r>
              <w:t xml:space="preserve">Source and use information on the hospitality industry </w:t>
            </w:r>
          </w:p>
        </w:tc>
      </w:tr>
      <w:tr w:rsidR="00425207" w:rsidTr="00425207">
        <w:trPr>
          <w:trHeight w:val="256"/>
        </w:trPr>
        <w:tc>
          <w:tcPr>
            <w:tcW w:w="2273" w:type="dxa"/>
            <w:tcBorders>
              <w:top w:val="nil"/>
              <w:left w:val="nil"/>
              <w:bottom w:val="nil"/>
              <w:right w:val="nil"/>
            </w:tcBorders>
          </w:tcPr>
          <w:p w:rsidR="00425207" w:rsidRDefault="00425207" w:rsidP="00425207">
            <w:pPr>
              <w:tabs>
                <w:tab w:val="center" w:pos="332"/>
                <w:tab w:val="center" w:pos="1239"/>
              </w:tabs>
              <w:spacing w:line="259" w:lineRule="auto"/>
            </w:pPr>
            <w:r>
              <w:rPr>
                <w:rFonts w:ascii="Calibri" w:eastAsia="Calibri" w:hAnsi="Calibri" w:cs="Calibri"/>
              </w:rPr>
              <w:tab/>
            </w:r>
            <w:r>
              <w:rPr>
                <w:rFonts w:ascii="Segoe UI Symbol" w:eastAsia="Segoe UI Symbol" w:hAnsi="Segoe UI Symbol" w:cs="Segoe UI Symbol"/>
              </w:rPr>
              <w:t>•</w:t>
            </w:r>
            <w:r>
              <w:t xml:space="preserve"> </w:t>
            </w:r>
            <w:r>
              <w:tab/>
              <w:t xml:space="preserve">SITHIND003  </w:t>
            </w:r>
          </w:p>
        </w:tc>
        <w:tc>
          <w:tcPr>
            <w:tcW w:w="6200" w:type="dxa"/>
            <w:tcBorders>
              <w:top w:val="nil"/>
              <w:left w:val="nil"/>
              <w:bottom w:val="nil"/>
              <w:right w:val="nil"/>
            </w:tcBorders>
          </w:tcPr>
          <w:p w:rsidR="00425207" w:rsidRDefault="00425207" w:rsidP="00425207">
            <w:pPr>
              <w:spacing w:line="259" w:lineRule="auto"/>
            </w:pPr>
            <w:r>
              <w:t xml:space="preserve">Use hospitality skills effectively </w:t>
            </w:r>
          </w:p>
        </w:tc>
      </w:tr>
      <w:tr w:rsidR="00425207" w:rsidTr="00425207">
        <w:trPr>
          <w:trHeight w:val="256"/>
        </w:trPr>
        <w:tc>
          <w:tcPr>
            <w:tcW w:w="2273" w:type="dxa"/>
            <w:tcBorders>
              <w:top w:val="nil"/>
              <w:left w:val="nil"/>
              <w:bottom w:val="nil"/>
              <w:right w:val="nil"/>
            </w:tcBorders>
          </w:tcPr>
          <w:p w:rsidR="00425207" w:rsidRDefault="00425207" w:rsidP="00425207">
            <w:pPr>
              <w:tabs>
                <w:tab w:val="center" w:pos="332"/>
                <w:tab w:val="center" w:pos="1298"/>
              </w:tabs>
              <w:spacing w:line="259" w:lineRule="auto"/>
            </w:pPr>
            <w:r>
              <w:rPr>
                <w:rFonts w:ascii="Calibri" w:eastAsia="Calibri" w:hAnsi="Calibri" w:cs="Calibri"/>
              </w:rPr>
              <w:tab/>
            </w:r>
            <w:r>
              <w:rPr>
                <w:rFonts w:ascii="Segoe UI Symbol" w:eastAsia="Segoe UI Symbol" w:hAnsi="Segoe UI Symbol" w:cs="Segoe UI Symbol"/>
              </w:rPr>
              <w:t>•</w:t>
            </w:r>
            <w:r>
              <w:t xml:space="preserve"> </w:t>
            </w:r>
            <w:r>
              <w:tab/>
              <w:t xml:space="preserve">SITXCOM002  </w:t>
            </w:r>
          </w:p>
        </w:tc>
        <w:tc>
          <w:tcPr>
            <w:tcW w:w="6200" w:type="dxa"/>
            <w:tcBorders>
              <w:top w:val="nil"/>
              <w:left w:val="nil"/>
              <w:bottom w:val="nil"/>
              <w:right w:val="nil"/>
            </w:tcBorders>
          </w:tcPr>
          <w:p w:rsidR="00425207" w:rsidRDefault="00425207" w:rsidP="00425207">
            <w:pPr>
              <w:spacing w:line="259" w:lineRule="auto"/>
            </w:pPr>
            <w:r>
              <w:t xml:space="preserve">Show social and cultural sensitivity </w:t>
            </w:r>
          </w:p>
        </w:tc>
      </w:tr>
      <w:tr w:rsidR="00425207" w:rsidTr="00425207">
        <w:trPr>
          <w:trHeight w:val="256"/>
        </w:trPr>
        <w:tc>
          <w:tcPr>
            <w:tcW w:w="2273" w:type="dxa"/>
            <w:tcBorders>
              <w:top w:val="nil"/>
              <w:left w:val="nil"/>
              <w:bottom w:val="nil"/>
              <w:right w:val="nil"/>
            </w:tcBorders>
          </w:tcPr>
          <w:p w:rsidR="00425207" w:rsidRDefault="00425207" w:rsidP="00425207">
            <w:pPr>
              <w:tabs>
                <w:tab w:val="center" w:pos="332"/>
                <w:tab w:val="center" w:pos="1274"/>
              </w:tabs>
              <w:spacing w:line="259" w:lineRule="auto"/>
            </w:pPr>
            <w:r>
              <w:rPr>
                <w:rFonts w:ascii="Calibri" w:eastAsia="Calibri" w:hAnsi="Calibri" w:cs="Calibri"/>
              </w:rPr>
              <w:tab/>
            </w:r>
            <w:r>
              <w:rPr>
                <w:rFonts w:ascii="Segoe UI Symbol" w:eastAsia="Segoe UI Symbol" w:hAnsi="Segoe UI Symbol" w:cs="Segoe UI Symbol"/>
              </w:rPr>
              <w:t>•</w:t>
            </w:r>
            <w:r>
              <w:t xml:space="preserve"> </w:t>
            </w:r>
            <w:r>
              <w:tab/>
              <w:t xml:space="preserve">SITXCCS003  </w:t>
            </w:r>
          </w:p>
        </w:tc>
        <w:tc>
          <w:tcPr>
            <w:tcW w:w="6200" w:type="dxa"/>
            <w:tcBorders>
              <w:top w:val="nil"/>
              <w:left w:val="nil"/>
              <w:bottom w:val="nil"/>
              <w:right w:val="nil"/>
            </w:tcBorders>
          </w:tcPr>
          <w:p w:rsidR="00425207" w:rsidRDefault="00425207" w:rsidP="00425207">
            <w:pPr>
              <w:spacing w:line="259" w:lineRule="auto"/>
            </w:pPr>
            <w:r>
              <w:t xml:space="preserve">Interact with customers </w:t>
            </w:r>
          </w:p>
        </w:tc>
      </w:tr>
      <w:tr w:rsidR="00425207" w:rsidTr="00425207">
        <w:trPr>
          <w:trHeight w:val="723"/>
        </w:trPr>
        <w:tc>
          <w:tcPr>
            <w:tcW w:w="2273" w:type="dxa"/>
            <w:tcBorders>
              <w:top w:val="nil"/>
              <w:left w:val="nil"/>
              <w:bottom w:val="nil"/>
              <w:right w:val="nil"/>
            </w:tcBorders>
          </w:tcPr>
          <w:p w:rsidR="00425207" w:rsidRDefault="00425207" w:rsidP="00425207">
            <w:pPr>
              <w:tabs>
                <w:tab w:val="center" w:pos="332"/>
                <w:tab w:val="center" w:pos="1298"/>
              </w:tabs>
              <w:spacing w:line="259" w:lineRule="auto"/>
            </w:pPr>
            <w:r>
              <w:rPr>
                <w:rFonts w:ascii="Calibri" w:eastAsia="Calibri" w:hAnsi="Calibri" w:cs="Calibri"/>
              </w:rPr>
              <w:tab/>
            </w:r>
            <w:r>
              <w:rPr>
                <w:rFonts w:ascii="Segoe UI Symbol" w:eastAsia="Segoe UI Symbol" w:hAnsi="Segoe UI Symbol" w:cs="Segoe UI Symbol"/>
              </w:rPr>
              <w:t>•</w:t>
            </w:r>
            <w:r>
              <w:t xml:space="preserve"> </w:t>
            </w:r>
            <w:r>
              <w:tab/>
              <w:t xml:space="preserve">SITXWHS001  </w:t>
            </w:r>
          </w:p>
          <w:p w:rsidR="00425207" w:rsidRDefault="00425207" w:rsidP="00425207">
            <w:pPr>
              <w:spacing w:after="5" w:line="259" w:lineRule="auto"/>
            </w:pPr>
            <w:r>
              <w:rPr>
                <w:sz w:val="19"/>
              </w:rPr>
              <w:t xml:space="preserve"> </w:t>
            </w:r>
          </w:p>
          <w:p w:rsidR="00425207" w:rsidRDefault="00425207" w:rsidP="00425207">
            <w:pPr>
              <w:spacing w:line="259" w:lineRule="auto"/>
            </w:pPr>
            <w:r>
              <w:rPr>
                <w:sz w:val="19"/>
              </w:rPr>
              <w:t xml:space="preserve">Elective Units </w:t>
            </w:r>
          </w:p>
        </w:tc>
        <w:tc>
          <w:tcPr>
            <w:tcW w:w="6200" w:type="dxa"/>
            <w:tcBorders>
              <w:top w:val="nil"/>
              <w:left w:val="nil"/>
              <w:bottom w:val="nil"/>
              <w:right w:val="nil"/>
            </w:tcBorders>
          </w:tcPr>
          <w:p w:rsidR="00425207" w:rsidRDefault="00425207" w:rsidP="00425207">
            <w:pPr>
              <w:spacing w:line="259" w:lineRule="auto"/>
            </w:pPr>
            <w:r>
              <w:t xml:space="preserve">Participate in safe work practices </w:t>
            </w:r>
          </w:p>
        </w:tc>
      </w:tr>
      <w:tr w:rsidR="00425207" w:rsidTr="00425207">
        <w:trPr>
          <w:trHeight w:val="269"/>
        </w:trPr>
        <w:tc>
          <w:tcPr>
            <w:tcW w:w="2273" w:type="dxa"/>
            <w:tcBorders>
              <w:top w:val="nil"/>
              <w:left w:val="nil"/>
              <w:bottom w:val="nil"/>
              <w:right w:val="nil"/>
            </w:tcBorders>
          </w:tcPr>
          <w:p w:rsidR="00425207" w:rsidRDefault="00425207" w:rsidP="00425207">
            <w:pPr>
              <w:tabs>
                <w:tab w:val="center" w:pos="332"/>
                <w:tab w:val="center" w:pos="1257"/>
              </w:tabs>
              <w:spacing w:line="259" w:lineRule="auto"/>
            </w:pPr>
            <w:r>
              <w:rPr>
                <w:rFonts w:ascii="Calibri" w:eastAsia="Calibri" w:hAnsi="Calibri" w:cs="Calibri"/>
              </w:rPr>
              <w:tab/>
            </w:r>
            <w:r>
              <w:rPr>
                <w:rFonts w:ascii="Segoe UI Symbol" w:eastAsia="Segoe UI Symbol" w:hAnsi="Segoe UI Symbol" w:cs="Segoe UI Symbol"/>
              </w:rPr>
              <w:t>•</w:t>
            </w:r>
            <w:r>
              <w:t xml:space="preserve"> </w:t>
            </w:r>
            <w:r>
              <w:tab/>
              <w:t xml:space="preserve">SITXFSA001  </w:t>
            </w:r>
          </w:p>
        </w:tc>
        <w:tc>
          <w:tcPr>
            <w:tcW w:w="6200" w:type="dxa"/>
            <w:tcBorders>
              <w:top w:val="nil"/>
              <w:left w:val="nil"/>
              <w:bottom w:val="nil"/>
              <w:right w:val="nil"/>
            </w:tcBorders>
          </w:tcPr>
          <w:p w:rsidR="00425207" w:rsidRDefault="00425207" w:rsidP="00425207">
            <w:pPr>
              <w:spacing w:line="259" w:lineRule="auto"/>
              <w:jc w:val="both"/>
            </w:pPr>
            <w:r>
              <w:t xml:space="preserve">Use hygienic practices for food safety (prerequisite for 3 electives) </w:t>
            </w:r>
          </w:p>
        </w:tc>
      </w:tr>
      <w:tr w:rsidR="00425207" w:rsidTr="00425207">
        <w:trPr>
          <w:trHeight w:val="256"/>
        </w:trPr>
        <w:tc>
          <w:tcPr>
            <w:tcW w:w="2273" w:type="dxa"/>
            <w:tcBorders>
              <w:top w:val="nil"/>
              <w:left w:val="nil"/>
              <w:bottom w:val="nil"/>
              <w:right w:val="nil"/>
            </w:tcBorders>
          </w:tcPr>
          <w:p w:rsidR="00425207" w:rsidRDefault="00425207" w:rsidP="00425207">
            <w:pPr>
              <w:tabs>
                <w:tab w:val="center" w:pos="332"/>
                <w:tab w:val="center" w:pos="1263"/>
              </w:tabs>
              <w:spacing w:line="259" w:lineRule="auto"/>
            </w:pPr>
            <w:r>
              <w:rPr>
                <w:rFonts w:ascii="Calibri" w:eastAsia="Calibri" w:hAnsi="Calibri" w:cs="Calibri"/>
              </w:rPr>
              <w:tab/>
            </w:r>
            <w:r>
              <w:rPr>
                <w:rFonts w:ascii="Segoe UI Symbol" w:eastAsia="Segoe UI Symbol" w:hAnsi="Segoe UI Symbol" w:cs="Segoe UI Symbol"/>
              </w:rPr>
              <w:t>•</w:t>
            </w:r>
            <w:r>
              <w:t xml:space="preserve"> </w:t>
            </w:r>
            <w:r>
              <w:tab/>
              <w:t xml:space="preserve">SITHFAB002   </w:t>
            </w:r>
          </w:p>
        </w:tc>
        <w:tc>
          <w:tcPr>
            <w:tcW w:w="6200" w:type="dxa"/>
            <w:tcBorders>
              <w:top w:val="nil"/>
              <w:left w:val="nil"/>
              <w:bottom w:val="nil"/>
              <w:right w:val="nil"/>
            </w:tcBorders>
          </w:tcPr>
          <w:p w:rsidR="00425207" w:rsidRDefault="00425207" w:rsidP="00425207">
            <w:pPr>
              <w:spacing w:line="259" w:lineRule="auto"/>
            </w:pPr>
            <w:r>
              <w:t xml:space="preserve">Provide responsible service of alcohol </w:t>
            </w:r>
          </w:p>
        </w:tc>
      </w:tr>
      <w:tr w:rsidR="00425207" w:rsidTr="00425207">
        <w:trPr>
          <w:trHeight w:val="256"/>
        </w:trPr>
        <w:tc>
          <w:tcPr>
            <w:tcW w:w="2273" w:type="dxa"/>
            <w:tcBorders>
              <w:top w:val="nil"/>
              <w:left w:val="nil"/>
              <w:bottom w:val="nil"/>
              <w:right w:val="nil"/>
            </w:tcBorders>
          </w:tcPr>
          <w:p w:rsidR="00425207" w:rsidRDefault="00425207" w:rsidP="00425207">
            <w:pPr>
              <w:tabs>
                <w:tab w:val="center" w:pos="332"/>
                <w:tab w:val="center" w:pos="1263"/>
              </w:tabs>
              <w:spacing w:line="259" w:lineRule="auto"/>
            </w:pPr>
            <w:r>
              <w:rPr>
                <w:rFonts w:ascii="Calibri" w:eastAsia="Calibri" w:hAnsi="Calibri" w:cs="Calibri"/>
              </w:rPr>
              <w:tab/>
            </w:r>
            <w:r>
              <w:rPr>
                <w:rFonts w:ascii="Segoe UI Symbol" w:eastAsia="Segoe UI Symbol" w:hAnsi="Segoe UI Symbol" w:cs="Segoe UI Symbol"/>
              </w:rPr>
              <w:t>•</w:t>
            </w:r>
            <w:r>
              <w:t xml:space="preserve"> </w:t>
            </w:r>
            <w:r>
              <w:tab/>
              <w:t xml:space="preserve">SITHFAB004  </w:t>
            </w:r>
          </w:p>
        </w:tc>
        <w:tc>
          <w:tcPr>
            <w:tcW w:w="6200" w:type="dxa"/>
            <w:tcBorders>
              <w:top w:val="nil"/>
              <w:left w:val="nil"/>
              <w:bottom w:val="nil"/>
              <w:right w:val="nil"/>
            </w:tcBorders>
          </w:tcPr>
          <w:p w:rsidR="00425207" w:rsidRDefault="00425207" w:rsidP="00425207">
            <w:pPr>
              <w:spacing w:line="259" w:lineRule="auto"/>
            </w:pPr>
            <w:r>
              <w:t xml:space="preserve">Prepare and serve non-alcoholic beverages </w:t>
            </w:r>
          </w:p>
        </w:tc>
      </w:tr>
      <w:tr w:rsidR="00425207" w:rsidTr="00425207">
        <w:trPr>
          <w:trHeight w:val="256"/>
        </w:trPr>
        <w:tc>
          <w:tcPr>
            <w:tcW w:w="2273" w:type="dxa"/>
            <w:tcBorders>
              <w:top w:val="nil"/>
              <w:left w:val="nil"/>
              <w:bottom w:val="nil"/>
              <w:right w:val="nil"/>
            </w:tcBorders>
          </w:tcPr>
          <w:p w:rsidR="00425207" w:rsidRDefault="00425207" w:rsidP="00425207">
            <w:pPr>
              <w:tabs>
                <w:tab w:val="center" w:pos="332"/>
                <w:tab w:val="center" w:pos="1263"/>
              </w:tabs>
              <w:spacing w:line="259" w:lineRule="auto"/>
            </w:pPr>
            <w:r>
              <w:rPr>
                <w:rFonts w:ascii="Calibri" w:eastAsia="Calibri" w:hAnsi="Calibri" w:cs="Calibri"/>
              </w:rPr>
              <w:tab/>
            </w:r>
            <w:r>
              <w:rPr>
                <w:rFonts w:ascii="Segoe UI Symbol" w:eastAsia="Segoe UI Symbol" w:hAnsi="Segoe UI Symbol" w:cs="Segoe UI Symbol"/>
              </w:rPr>
              <w:t>•</w:t>
            </w:r>
            <w:r>
              <w:t xml:space="preserve"> </w:t>
            </w:r>
            <w:r>
              <w:tab/>
              <w:t xml:space="preserve">SITHFAB007  </w:t>
            </w:r>
          </w:p>
        </w:tc>
        <w:tc>
          <w:tcPr>
            <w:tcW w:w="6200" w:type="dxa"/>
            <w:tcBorders>
              <w:top w:val="nil"/>
              <w:left w:val="nil"/>
              <w:bottom w:val="nil"/>
              <w:right w:val="nil"/>
            </w:tcBorders>
          </w:tcPr>
          <w:p w:rsidR="00425207" w:rsidRDefault="00425207" w:rsidP="00425207">
            <w:pPr>
              <w:spacing w:line="259" w:lineRule="auto"/>
            </w:pPr>
            <w:r>
              <w:t xml:space="preserve">Serve food and beverage </w:t>
            </w:r>
          </w:p>
        </w:tc>
      </w:tr>
      <w:tr w:rsidR="00425207" w:rsidTr="00425207">
        <w:trPr>
          <w:trHeight w:val="256"/>
        </w:trPr>
        <w:tc>
          <w:tcPr>
            <w:tcW w:w="2273" w:type="dxa"/>
            <w:tcBorders>
              <w:top w:val="nil"/>
              <w:left w:val="nil"/>
              <w:bottom w:val="nil"/>
              <w:right w:val="nil"/>
            </w:tcBorders>
          </w:tcPr>
          <w:p w:rsidR="00425207" w:rsidRDefault="00425207" w:rsidP="00425207">
            <w:pPr>
              <w:tabs>
                <w:tab w:val="center" w:pos="332"/>
                <w:tab w:val="center" w:pos="1298"/>
              </w:tabs>
              <w:spacing w:line="259" w:lineRule="auto"/>
            </w:pPr>
            <w:r>
              <w:rPr>
                <w:rFonts w:ascii="Calibri" w:eastAsia="Calibri" w:hAnsi="Calibri" w:cs="Calibri"/>
              </w:rPr>
              <w:tab/>
            </w:r>
            <w:r>
              <w:rPr>
                <w:rFonts w:ascii="Segoe UI Symbol" w:eastAsia="Segoe UI Symbol" w:hAnsi="Segoe UI Symbol" w:cs="Segoe UI Symbol"/>
              </w:rPr>
              <w:t>•</w:t>
            </w:r>
            <w:r>
              <w:t xml:space="preserve"> </w:t>
            </w:r>
            <w:r>
              <w:tab/>
              <w:t xml:space="preserve">SITHGAM001  </w:t>
            </w:r>
          </w:p>
        </w:tc>
        <w:tc>
          <w:tcPr>
            <w:tcW w:w="6200" w:type="dxa"/>
            <w:tcBorders>
              <w:top w:val="nil"/>
              <w:left w:val="nil"/>
              <w:bottom w:val="nil"/>
              <w:right w:val="nil"/>
            </w:tcBorders>
          </w:tcPr>
          <w:p w:rsidR="00425207" w:rsidRDefault="00425207" w:rsidP="00425207">
            <w:pPr>
              <w:spacing w:line="259" w:lineRule="auto"/>
            </w:pPr>
            <w:r>
              <w:t xml:space="preserve">Provide responsible gambling service </w:t>
            </w:r>
          </w:p>
        </w:tc>
      </w:tr>
      <w:tr w:rsidR="00425207" w:rsidTr="00425207">
        <w:trPr>
          <w:trHeight w:val="241"/>
        </w:trPr>
        <w:tc>
          <w:tcPr>
            <w:tcW w:w="2273" w:type="dxa"/>
            <w:tcBorders>
              <w:top w:val="nil"/>
              <w:left w:val="nil"/>
              <w:bottom w:val="nil"/>
              <w:right w:val="nil"/>
            </w:tcBorders>
          </w:tcPr>
          <w:p w:rsidR="00425207" w:rsidRDefault="00425207" w:rsidP="00425207">
            <w:pPr>
              <w:tabs>
                <w:tab w:val="center" w:pos="332"/>
                <w:tab w:val="center" w:pos="1280"/>
              </w:tabs>
              <w:spacing w:line="259" w:lineRule="auto"/>
            </w:pPr>
            <w:r>
              <w:rPr>
                <w:rFonts w:ascii="Calibri" w:eastAsia="Calibri" w:hAnsi="Calibri" w:cs="Calibri"/>
              </w:rPr>
              <w:tab/>
            </w:r>
            <w:r>
              <w:rPr>
                <w:rFonts w:ascii="Segoe UI Symbol" w:eastAsia="Segoe UI Symbol" w:hAnsi="Segoe UI Symbol" w:cs="Segoe UI Symbol"/>
              </w:rPr>
              <w:t>•</w:t>
            </w:r>
            <w:r>
              <w:t xml:space="preserve"> </w:t>
            </w:r>
            <w:r>
              <w:tab/>
              <w:t xml:space="preserve">BSBCMM201 </w:t>
            </w:r>
          </w:p>
        </w:tc>
        <w:tc>
          <w:tcPr>
            <w:tcW w:w="6200" w:type="dxa"/>
            <w:tcBorders>
              <w:top w:val="nil"/>
              <w:left w:val="nil"/>
              <w:bottom w:val="nil"/>
              <w:right w:val="nil"/>
            </w:tcBorders>
          </w:tcPr>
          <w:p w:rsidR="00425207" w:rsidRDefault="00425207" w:rsidP="00425207">
            <w:pPr>
              <w:spacing w:line="259" w:lineRule="auto"/>
            </w:pPr>
            <w:r>
              <w:t xml:space="preserve">Communicate in the workplace </w:t>
            </w:r>
          </w:p>
        </w:tc>
      </w:tr>
    </w:tbl>
    <w:p w:rsidR="00425207" w:rsidRDefault="00425207" w:rsidP="00425207">
      <w:pPr>
        <w:spacing w:after="2" w:line="259" w:lineRule="auto"/>
      </w:pPr>
      <w:r>
        <w:t xml:space="preserve"> </w:t>
      </w:r>
    </w:p>
    <w:p w:rsidR="005B6F69" w:rsidRDefault="005B6F69" w:rsidP="00425207">
      <w:pPr>
        <w:ind w:left="-5" w:right="46"/>
      </w:pPr>
    </w:p>
    <w:p w:rsidR="005B6F69" w:rsidRDefault="005B6F69" w:rsidP="00425207">
      <w:pPr>
        <w:ind w:left="-5" w:right="46"/>
      </w:pPr>
    </w:p>
    <w:p w:rsidR="005B6F69" w:rsidRDefault="005B6F69" w:rsidP="00425207">
      <w:pPr>
        <w:ind w:left="-5" w:right="46"/>
      </w:pPr>
    </w:p>
    <w:p w:rsidR="005B6F69" w:rsidRDefault="005B6F69" w:rsidP="00425207">
      <w:pPr>
        <w:ind w:left="-5" w:right="46"/>
      </w:pPr>
    </w:p>
    <w:p w:rsidR="00425207" w:rsidRDefault="00425207" w:rsidP="00425207">
      <w:pPr>
        <w:ind w:left="-5" w:right="46"/>
      </w:pPr>
      <w:r>
        <w:t xml:space="preserve">Upon successful completion, students are certified with 4 QCE Credits  </w:t>
      </w:r>
    </w:p>
    <w:p w:rsidR="00425207" w:rsidRDefault="00425207" w:rsidP="00425207">
      <w:pPr>
        <w:spacing w:after="42"/>
        <w:ind w:left="-5" w:right="46"/>
      </w:pPr>
      <w:r>
        <w:t xml:space="preserve">Nationally recognised qualifications: </w:t>
      </w:r>
    </w:p>
    <w:p w:rsidR="00425207" w:rsidRDefault="00425207" w:rsidP="00EF1C54">
      <w:pPr>
        <w:numPr>
          <w:ilvl w:val="0"/>
          <w:numId w:val="36"/>
        </w:numPr>
        <w:spacing w:after="19" w:line="260" w:lineRule="auto"/>
        <w:ind w:right="46" w:hanging="360"/>
      </w:pPr>
      <w:r>
        <w:t xml:space="preserve">Certificate ll in Hospitality SIT20316 – Food and Beverage (4 Credits – Core) – RTO – Club Training Australia </w:t>
      </w:r>
    </w:p>
    <w:p w:rsidR="00425207" w:rsidRDefault="00425207" w:rsidP="00EF1C54">
      <w:pPr>
        <w:numPr>
          <w:ilvl w:val="0"/>
          <w:numId w:val="36"/>
        </w:numPr>
        <w:spacing w:line="260" w:lineRule="auto"/>
        <w:ind w:right="46" w:hanging="360"/>
      </w:pPr>
      <w:r>
        <w:t xml:space="preserve">Responsible Service of Alcohol Qualification </w:t>
      </w:r>
    </w:p>
    <w:p w:rsidR="00425207" w:rsidRDefault="00425207" w:rsidP="00EF1C54">
      <w:pPr>
        <w:numPr>
          <w:ilvl w:val="0"/>
          <w:numId w:val="36"/>
        </w:numPr>
        <w:spacing w:line="260" w:lineRule="auto"/>
        <w:ind w:right="46" w:hanging="360"/>
      </w:pPr>
      <w:r>
        <w:t xml:space="preserve">Responsible Gambling Service Qualification </w:t>
      </w:r>
    </w:p>
    <w:p w:rsidR="00425207" w:rsidRDefault="00425207" w:rsidP="00425207">
      <w:pPr>
        <w:spacing w:after="4" w:line="259" w:lineRule="auto"/>
      </w:pPr>
      <w:r>
        <w:rPr>
          <w:b/>
        </w:rPr>
        <w:t xml:space="preserve"> </w:t>
      </w:r>
    </w:p>
    <w:p w:rsidR="00425207" w:rsidRDefault="00425207" w:rsidP="005B6F69">
      <w:pPr>
        <w:spacing w:after="2" w:line="259" w:lineRule="auto"/>
      </w:pPr>
      <w:r>
        <w:rPr>
          <w:b/>
        </w:rPr>
        <w:t xml:space="preserve"> PATHWAYS: </w:t>
      </w:r>
      <w:r>
        <w:t xml:space="preserve"> This program will allow students to enter the workforce with the skills and knowledge required to secure an entry level position in a hospitality and/or food service establishment, in various hospitality settings such as restaurants, hotels, motels, clubs, pubs, cafes and coffee shops. After achieving this qualification, people could undertake SIT30216 Certificate III in Hospitality. </w:t>
      </w:r>
    </w:p>
    <w:p w:rsidR="00425207" w:rsidRDefault="00425207" w:rsidP="005B6F69">
      <w:pPr>
        <w:spacing w:after="141" w:line="259" w:lineRule="auto"/>
      </w:pPr>
    </w:p>
    <w:p w:rsidR="00425207" w:rsidRDefault="00425207" w:rsidP="00425207">
      <w:pPr>
        <w:spacing w:after="3"/>
        <w:ind w:left="-5" w:right="46"/>
      </w:pPr>
      <w:r>
        <w:rPr>
          <w:b/>
        </w:rPr>
        <w:t xml:space="preserve">FEES: </w:t>
      </w:r>
      <w:r>
        <w:t xml:space="preserve">Purchase of Pioneer SHS Hospitality Uniform Shirt - </w:t>
      </w:r>
      <w:r>
        <w:rPr>
          <w:b/>
        </w:rPr>
        <w:t>$30 (approximately)</w:t>
      </w:r>
      <w:r>
        <w:t xml:space="preserve">. Course free but uses VETiS funding. </w:t>
      </w:r>
    </w:p>
    <w:p w:rsidR="00425207" w:rsidRDefault="00425207" w:rsidP="00425207">
      <w:pPr>
        <w:spacing w:after="4" w:line="259" w:lineRule="auto"/>
      </w:pPr>
      <w:r>
        <w:t xml:space="preserve"> </w:t>
      </w:r>
    </w:p>
    <w:p w:rsidR="00425207" w:rsidRDefault="00425207" w:rsidP="00425207">
      <w:pPr>
        <w:spacing w:after="2" w:line="259" w:lineRule="auto"/>
        <w:ind w:left="-5"/>
      </w:pPr>
      <w:r>
        <w:rPr>
          <w:b/>
        </w:rPr>
        <w:t>COURSE OVERVIEW</w:t>
      </w:r>
      <w:r>
        <w:rPr>
          <w:b/>
          <w:i/>
        </w:rPr>
        <w:t xml:space="preserve">  </w:t>
      </w:r>
    </w:p>
    <w:tbl>
      <w:tblPr>
        <w:tblStyle w:val="TableGrid0"/>
        <w:tblW w:w="9359" w:type="dxa"/>
        <w:tblInd w:w="-5" w:type="dxa"/>
        <w:tblCellMar>
          <w:top w:w="38" w:type="dxa"/>
          <w:left w:w="76" w:type="dxa"/>
          <w:right w:w="61" w:type="dxa"/>
        </w:tblCellMar>
        <w:tblLook w:val="04A0" w:firstRow="1" w:lastRow="0" w:firstColumn="1" w:lastColumn="0" w:noHBand="0" w:noVBand="1"/>
      </w:tblPr>
      <w:tblGrid>
        <w:gridCol w:w="1138"/>
        <w:gridCol w:w="4649"/>
        <w:gridCol w:w="3572"/>
      </w:tblGrid>
      <w:tr w:rsidR="00425207" w:rsidTr="002A048C">
        <w:trPr>
          <w:trHeight w:val="275"/>
        </w:trPr>
        <w:tc>
          <w:tcPr>
            <w:tcW w:w="1138" w:type="dxa"/>
            <w:tcBorders>
              <w:top w:val="single" w:sz="4" w:space="0" w:color="000000"/>
              <w:left w:val="single" w:sz="4" w:space="0" w:color="000000"/>
              <w:bottom w:val="single" w:sz="4" w:space="0" w:color="000000"/>
              <w:right w:val="single" w:sz="4" w:space="0" w:color="000000"/>
            </w:tcBorders>
            <w:shd w:val="clear" w:color="auto" w:fill="0C0C0C"/>
          </w:tcPr>
          <w:p w:rsidR="00425207" w:rsidRDefault="00425207" w:rsidP="00425207">
            <w:pPr>
              <w:spacing w:line="259" w:lineRule="auto"/>
              <w:ind w:left="31"/>
            </w:pPr>
            <w:r>
              <w:rPr>
                <w:b/>
                <w:color w:val="FFFFFF"/>
              </w:rPr>
              <w:t>P</w:t>
            </w:r>
            <w:r>
              <w:rPr>
                <w:b/>
                <w:color w:val="FFFFFF"/>
                <w:sz w:val="17"/>
              </w:rPr>
              <w:t>ROJECT</w:t>
            </w:r>
            <w:r>
              <w:rPr>
                <w:b/>
                <w:color w:val="FFFFFF"/>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0C0C0C"/>
          </w:tcPr>
          <w:p w:rsidR="00425207" w:rsidRDefault="00425207" w:rsidP="00425207">
            <w:pPr>
              <w:spacing w:line="259" w:lineRule="auto"/>
              <w:ind w:left="32"/>
            </w:pPr>
            <w:r>
              <w:rPr>
                <w:b/>
                <w:color w:val="FFFFFF"/>
              </w:rPr>
              <w:t>D</w:t>
            </w:r>
            <w:r>
              <w:rPr>
                <w:b/>
                <w:color w:val="FFFFFF"/>
                <w:sz w:val="17"/>
              </w:rPr>
              <w:t>ETAILS</w:t>
            </w:r>
            <w:r>
              <w:rPr>
                <w:b/>
                <w:color w:val="FFFFFF"/>
              </w:rPr>
              <w:t xml:space="preserve"> </w:t>
            </w:r>
          </w:p>
        </w:tc>
        <w:tc>
          <w:tcPr>
            <w:tcW w:w="3572" w:type="dxa"/>
            <w:tcBorders>
              <w:top w:val="single" w:sz="4" w:space="0" w:color="000000"/>
              <w:left w:val="single" w:sz="4" w:space="0" w:color="000000"/>
              <w:bottom w:val="single" w:sz="4" w:space="0" w:color="000000"/>
              <w:right w:val="single" w:sz="4" w:space="0" w:color="000000"/>
            </w:tcBorders>
            <w:shd w:val="clear" w:color="auto" w:fill="0C0C0C"/>
          </w:tcPr>
          <w:p w:rsidR="00425207" w:rsidRDefault="00425207" w:rsidP="00425207">
            <w:pPr>
              <w:spacing w:line="259" w:lineRule="auto"/>
              <w:ind w:left="32"/>
            </w:pPr>
            <w:r>
              <w:rPr>
                <w:b/>
                <w:color w:val="FFFFFF"/>
              </w:rPr>
              <w:t>C</w:t>
            </w:r>
            <w:r>
              <w:rPr>
                <w:b/>
                <w:color w:val="FFFFFF"/>
                <w:sz w:val="17"/>
              </w:rPr>
              <w:t>OMPETENCIES</w:t>
            </w:r>
            <w:r>
              <w:rPr>
                <w:b/>
                <w:color w:val="FFFFFF"/>
              </w:rPr>
              <w:t xml:space="preserve"> </w:t>
            </w:r>
          </w:p>
        </w:tc>
      </w:tr>
      <w:tr w:rsidR="00425207" w:rsidTr="002A048C">
        <w:trPr>
          <w:trHeight w:val="436"/>
        </w:trPr>
        <w:tc>
          <w:tcPr>
            <w:tcW w:w="1138" w:type="dxa"/>
            <w:tcBorders>
              <w:top w:val="single" w:sz="4" w:space="0" w:color="000000"/>
              <w:left w:val="single" w:sz="4" w:space="0" w:color="000000"/>
              <w:bottom w:val="single" w:sz="4" w:space="0" w:color="000000"/>
              <w:right w:val="nil"/>
            </w:tcBorders>
            <w:shd w:val="clear" w:color="auto" w:fill="A6A6A6"/>
            <w:vAlign w:val="center"/>
          </w:tcPr>
          <w:p w:rsidR="00425207" w:rsidRDefault="00425207" w:rsidP="00425207">
            <w:pPr>
              <w:spacing w:line="259" w:lineRule="auto"/>
              <w:ind w:left="31"/>
            </w:pPr>
            <w:r>
              <w:rPr>
                <w:b/>
                <w:sz w:val="17"/>
              </w:rPr>
              <w:t xml:space="preserve">Year 11 </w:t>
            </w:r>
          </w:p>
        </w:tc>
        <w:tc>
          <w:tcPr>
            <w:tcW w:w="4649" w:type="dxa"/>
            <w:tcBorders>
              <w:top w:val="single" w:sz="4" w:space="0" w:color="000000"/>
              <w:left w:val="nil"/>
              <w:bottom w:val="single" w:sz="4" w:space="0" w:color="000000"/>
              <w:right w:val="nil"/>
            </w:tcBorders>
            <w:shd w:val="clear" w:color="auto" w:fill="A6A6A6"/>
          </w:tcPr>
          <w:p w:rsidR="00425207" w:rsidRDefault="00425207" w:rsidP="00425207">
            <w:pPr>
              <w:spacing w:after="160" w:line="259" w:lineRule="auto"/>
            </w:pPr>
          </w:p>
        </w:tc>
        <w:tc>
          <w:tcPr>
            <w:tcW w:w="3572" w:type="dxa"/>
            <w:tcBorders>
              <w:top w:val="single" w:sz="4" w:space="0" w:color="000000"/>
              <w:left w:val="nil"/>
              <w:bottom w:val="single" w:sz="4" w:space="0" w:color="000000"/>
              <w:right w:val="single" w:sz="4" w:space="0" w:color="000000"/>
            </w:tcBorders>
            <w:shd w:val="clear" w:color="auto" w:fill="A6A6A6"/>
          </w:tcPr>
          <w:p w:rsidR="00425207" w:rsidRDefault="00425207" w:rsidP="00425207">
            <w:pPr>
              <w:spacing w:after="160" w:line="259" w:lineRule="auto"/>
            </w:pPr>
          </w:p>
        </w:tc>
      </w:tr>
      <w:tr w:rsidR="00425207" w:rsidTr="002A048C">
        <w:trPr>
          <w:trHeight w:val="1732"/>
        </w:trPr>
        <w:tc>
          <w:tcPr>
            <w:tcW w:w="1138" w:type="dxa"/>
            <w:tcBorders>
              <w:top w:val="single" w:sz="4" w:space="0" w:color="000000"/>
              <w:left w:val="single" w:sz="4" w:space="0" w:color="000000"/>
              <w:bottom w:val="single" w:sz="4" w:space="0" w:color="000000"/>
              <w:right w:val="single" w:sz="4" w:space="0" w:color="000000"/>
            </w:tcBorders>
            <w:vAlign w:val="center"/>
          </w:tcPr>
          <w:p w:rsidR="00425207" w:rsidRDefault="00425207" w:rsidP="00425207">
            <w:pPr>
              <w:spacing w:line="259" w:lineRule="auto"/>
            </w:pPr>
            <w:r>
              <w:rPr>
                <w:sz w:val="17"/>
              </w:rPr>
              <w:t xml:space="preserve">Coffee Shop </w:t>
            </w:r>
          </w:p>
        </w:tc>
        <w:tc>
          <w:tcPr>
            <w:tcW w:w="4649" w:type="dxa"/>
            <w:tcBorders>
              <w:top w:val="single" w:sz="4" w:space="0" w:color="000000"/>
              <w:left w:val="single" w:sz="4" w:space="0" w:color="000000"/>
              <w:bottom w:val="single" w:sz="4" w:space="0" w:color="000000"/>
              <w:right w:val="single" w:sz="4" w:space="0" w:color="000000"/>
            </w:tcBorders>
          </w:tcPr>
          <w:p w:rsidR="00425207" w:rsidRDefault="00425207" w:rsidP="00425207">
            <w:pPr>
              <w:spacing w:after="4" w:line="259" w:lineRule="auto"/>
              <w:ind w:left="32"/>
            </w:pPr>
            <w:r>
              <w:rPr>
                <w:b/>
                <w:sz w:val="17"/>
              </w:rPr>
              <w:t xml:space="preserve">Weekly Coffee Shop – Open to Staff and Senior </w:t>
            </w:r>
          </w:p>
          <w:p w:rsidR="00425207" w:rsidRDefault="00425207" w:rsidP="00425207">
            <w:pPr>
              <w:spacing w:after="2" w:line="259" w:lineRule="auto"/>
              <w:ind w:left="32"/>
            </w:pPr>
            <w:r>
              <w:rPr>
                <w:b/>
                <w:sz w:val="17"/>
              </w:rPr>
              <w:t xml:space="preserve">Students </w:t>
            </w:r>
          </w:p>
          <w:p w:rsidR="00425207" w:rsidRDefault="00425207" w:rsidP="00425207">
            <w:pPr>
              <w:spacing w:after="4" w:line="259" w:lineRule="auto"/>
              <w:ind w:left="32"/>
            </w:pPr>
            <w:r>
              <w:rPr>
                <w:sz w:val="17"/>
              </w:rPr>
              <w:t xml:space="preserve">Students cook a savoury and a sweet dish each week. </w:t>
            </w:r>
          </w:p>
          <w:p w:rsidR="00425207" w:rsidRDefault="00425207" w:rsidP="00425207">
            <w:pPr>
              <w:spacing w:line="259" w:lineRule="auto"/>
              <w:ind w:left="32" w:right="44"/>
              <w:jc w:val="both"/>
            </w:pPr>
            <w:r>
              <w:rPr>
                <w:sz w:val="17"/>
              </w:rPr>
              <w:t xml:space="preserve">Students make a range of hot and cold beverages including Latte, cappuccino, short black, flat white, mocha, and macchiato and flavoured milk shakes.  Students take responsibility for taking and serving orders, along with financial accountability </w:t>
            </w:r>
          </w:p>
        </w:tc>
        <w:tc>
          <w:tcPr>
            <w:tcW w:w="3572" w:type="dxa"/>
            <w:vMerge w:val="restart"/>
            <w:tcBorders>
              <w:top w:val="single" w:sz="4" w:space="0" w:color="000000"/>
              <w:left w:val="single" w:sz="4" w:space="0" w:color="000000"/>
              <w:bottom w:val="single" w:sz="4" w:space="0" w:color="000000"/>
              <w:right w:val="single" w:sz="4" w:space="0" w:color="000000"/>
            </w:tcBorders>
          </w:tcPr>
          <w:p w:rsidR="00425207" w:rsidRDefault="00425207" w:rsidP="00425207">
            <w:pPr>
              <w:spacing w:line="265" w:lineRule="auto"/>
              <w:ind w:left="32" w:right="39"/>
            </w:pPr>
            <w:r>
              <w:rPr>
                <w:sz w:val="17"/>
              </w:rPr>
              <w:t xml:space="preserve">SITXFSA001 Use hygienic practices for food safety </w:t>
            </w:r>
          </w:p>
          <w:p w:rsidR="00425207" w:rsidRDefault="00425207" w:rsidP="00425207">
            <w:pPr>
              <w:spacing w:line="265" w:lineRule="auto"/>
              <w:ind w:left="32"/>
            </w:pPr>
            <w:r>
              <w:rPr>
                <w:sz w:val="17"/>
              </w:rPr>
              <w:t xml:space="preserve">SITXWHS001 Participate in safe work practices </w:t>
            </w:r>
          </w:p>
          <w:p w:rsidR="00425207" w:rsidRDefault="00425207" w:rsidP="00425207">
            <w:pPr>
              <w:spacing w:line="265" w:lineRule="auto"/>
              <w:ind w:left="32"/>
              <w:jc w:val="both"/>
            </w:pPr>
            <w:r>
              <w:rPr>
                <w:sz w:val="17"/>
              </w:rPr>
              <w:t xml:space="preserve">SITHFAB004 Prepare and serve nonalcoholic beverages </w:t>
            </w:r>
          </w:p>
          <w:p w:rsidR="00425207" w:rsidRDefault="00425207" w:rsidP="00425207">
            <w:pPr>
              <w:spacing w:after="2" w:line="259" w:lineRule="auto"/>
              <w:ind w:left="32"/>
            </w:pPr>
            <w:r>
              <w:rPr>
                <w:sz w:val="17"/>
              </w:rPr>
              <w:t xml:space="preserve">SITHFAB007 Serve food and beverage </w:t>
            </w:r>
          </w:p>
          <w:p w:rsidR="00425207" w:rsidRDefault="00425207" w:rsidP="00425207">
            <w:pPr>
              <w:spacing w:line="265" w:lineRule="auto"/>
              <w:ind w:left="32"/>
            </w:pPr>
            <w:r>
              <w:rPr>
                <w:sz w:val="17"/>
              </w:rPr>
              <w:t xml:space="preserve">SITHFAB002 Provide responsible service of alcohol </w:t>
            </w:r>
          </w:p>
          <w:p w:rsidR="00425207" w:rsidRDefault="00425207" w:rsidP="00425207">
            <w:pPr>
              <w:spacing w:after="2" w:line="259" w:lineRule="auto"/>
              <w:ind w:left="32"/>
            </w:pPr>
            <w:r>
              <w:rPr>
                <w:sz w:val="17"/>
              </w:rPr>
              <w:t xml:space="preserve">BSBWOR203 Work effectively with others  </w:t>
            </w:r>
          </w:p>
          <w:p w:rsidR="00425207" w:rsidRDefault="00425207" w:rsidP="00425207">
            <w:pPr>
              <w:spacing w:after="4" w:line="259" w:lineRule="auto"/>
              <w:ind w:left="32"/>
            </w:pPr>
            <w:r>
              <w:rPr>
                <w:sz w:val="17"/>
              </w:rPr>
              <w:t xml:space="preserve"> </w:t>
            </w:r>
          </w:p>
          <w:p w:rsidR="00425207" w:rsidRDefault="00425207" w:rsidP="00425207">
            <w:pPr>
              <w:spacing w:line="259" w:lineRule="auto"/>
              <w:ind w:left="32"/>
            </w:pPr>
            <w:r>
              <w:rPr>
                <w:sz w:val="17"/>
              </w:rPr>
              <w:t xml:space="preserve"> </w:t>
            </w:r>
          </w:p>
        </w:tc>
      </w:tr>
      <w:tr w:rsidR="00425207" w:rsidTr="002A048C">
        <w:trPr>
          <w:trHeight w:val="655"/>
        </w:trPr>
        <w:tc>
          <w:tcPr>
            <w:tcW w:w="1138" w:type="dxa"/>
            <w:tcBorders>
              <w:top w:val="single" w:sz="4" w:space="0" w:color="000000"/>
              <w:left w:val="single" w:sz="4" w:space="0" w:color="000000"/>
              <w:bottom w:val="single" w:sz="4" w:space="0" w:color="000000"/>
              <w:right w:val="single" w:sz="4" w:space="0" w:color="000000"/>
            </w:tcBorders>
            <w:vAlign w:val="center"/>
          </w:tcPr>
          <w:p w:rsidR="00425207" w:rsidRDefault="00425207" w:rsidP="00425207">
            <w:pPr>
              <w:spacing w:line="259" w:lineRule="auto"/>
              <w:ind w:left="31"/>
            </w:pPr>
            <w:r>
              <w:rPr>
                <w:sz w:val="17"/>
              </w:rPr>
              <w:t xml:space="preserve">Industry Tour </w:t>
            </w:r>
          </w:p>
        </w:tc>
        <w:tc>
          <w:tcPr>
            <w:tcW w:w="4649" w:type="dxa"/>
            <w:tcBorders>
              <w:top w:val="single" w:sz="4" w:space="0" w:color="000000"/>
              <w:left w:val="single" w:sz="4" w:space="0" w:color="000000"/>
              <w:bottom w:val="single" w:sz="4" w:space="0" w:color="000000"/>
              <w:right w:val="single" w:sz="4" w:space="0" w:color="000000"/>
            </w:tcBorders>
          </w:tcPr>
          <w:p w:rsidR="00425207" w:rsidRDefault="00425207" w:rsidP="00425207">
            <w:pPr>
              <w:spacing w:after="4" w:line="259" w:lineRule="auto"/>
              <w:ind w:left="32"/>
            </w:pPr>
            <w:r>
              <w:rPr>
                <w:b/>
                <w:sz w:val="17"/>
              </w:rPr>
              <w:t xml:space="preserve">Tour of Local Hospitality Venues – Suggested venues </w:t>
            </w:r>
          </w:p>
          <w:p w:rsidR="00425207" w:rsidRDefault="00425207" w:rsidP="00425207">
            <w:pPr>
              <w:spacing w:after="2" w:line="259" w:lineRule="auto"/>
              <w:ind w:left="32"/>
            </w:pPr>
            <w:r>
              <w:rPr>
                <w:sz w:val="17"/>
              </w:rPr>
              <w:t xml:space="preserve">Sporting Club (Magpies), Cinema (BCC), Resort (Ocean </w:t>
            </w:r>
          </w:p>
          <w:p w:rsidR="00425207" w:rsidRDefault="00425207" w:rsidP="00425207">
            <w:pPr>
              <w:spacing w:line="259" w:lineRule="auto"/>
              <w:ind w:left="32"/>
            </w:pPr>
            <w:r>
              <w:rPr>
                <w:sz w:val="17"/>
              </w:rPr>
              <w:t xml:space="preserve">International), Age Care Facility (Good Shepard Lodge) </w:t>
            </w:r>
          </w:p>
        </w:tc>
        <w:tc>
          <w:tcPr>
            <w:tcW w:w="0" w:type="auto"/>
            <w:vMerge/>
            <w:tcBorders>
              <w:top w:val="nil"/>
              <w:left w:val="single" w:sz="4" w:space="0" w:color="000000"/>
              <w:bottom w:val="nil"/>
              <w:right w:val="single" w:sz="4" w:space="0" w:color="000000"/>
            </w:tcBorders>
          </w:tcPr>
          <w:p w:rsidR="00425207" w:rsidRDefault="00425207" w:rsidP="00425207">
            <w:pPr>
              <w:spacing w:after="160" w:line="259" w:lineRule="auto"/>
            </w:pPr>
          </w:p>
        </w:tc>
      </w:tr>
      <w:tr w:rsidR="00425207" w:rsidTr="002A048C">
        <w:trPr>
          <w:trHeight w:val="274"/>
        </w:trPr>
        <w:tc>
          <w:tcPr>
            <w:tcW w:w="1138" w:type="dxa"/>
            <w:tcBorders>
              <w:top w:val="single" w:sz="4" w:space="0" w:color="000000"/>
              <w:left w:val="single" w:sz="4" w:space="0" w:color="000000"/>
              <w:bottom w:val="single" w:sz="4" w:space="0" w:color="000000"/>
              <w:right w:val="single" w:sz="4" w:space="0" w:color="000000"/>
            </w:tcBorders>
          </w:tcPr>
          <w:p w:rsidR="00425207" w:rsidRDefault="00425207" w:rsidP="00425207">
            <w:pPr>
              <w:spacing w:line="259" w:lineRule="auto"/>
              <w:ind w:left="31"/>
            </w:pPr>
            <w:r>
              <w:rPr>
                <w:sz w:val="17"/>
              </w:rPr>
              <w:t xml:space="preserve">Work Placement </w:t>
            </w:r>
          </w:p>
        </w:tc>
        <w:tc>
          <w:tcPr>
            <w:tcW w:w="4649" w:type="dxa"/>
            <w:tcBorders>
              <w:top w:val="single" w:sz="4" w:space="0" w:color="000000"/>
              <w:left w:val="single" w:sz="4" w:space="0" w:color="000000"/>
              <w:bottom w:val="single" w:sz="4" w:space="0" w:color="000000"/>
              <w:right w:val="single" w:sz="4" w:space="0" w:color="000000"/>
            </w:tcBorders>
          </w:tcPr>
          <w:p w:rsidR="00425207" w:rsidRDefault="00425207" w:rsidP="00425207">
            <w:pPr>
              <w:spacing w:line="259" w:lineRule="auto"/>
              <w:ind w:left="32"/>
            </w:pPr>
            <w:r>
              <w:rPr>
                <w:b/>
                <w:sz w:val="17"/>
              </w:rPr>
              <w:t xml:space="preserve">Work Placement in an approved venue 1 Week  </w:t>
            </w:r>
          </w:p>
        </w:tc>
        <w:tc>
          <w:tcPr>
            <w:tcW w:w="0" w:type="auto"/>
            <w:vMerge/>
            <w:tcBorders>
              <w:top w:val="nil"/>
              <w:left w:val="single" w:sz="4" w:space="0" w:color="000000"/>
              <w:bottom w:val="nil"/>
              <w:right w:val="single" w:sz="4" w:space="0" w:color="000000"/>
            </w:tcBorders>
          </w:tcPr>
          <w:p w:rsidR="00425207" w:rsidRDefault="00425207" w:rsidP="00425207">
            <w:pPr>
              <w:spacing w:after="160" w:line="259" w:lineRule="auto"/>
            </w:pPr>
          </w:p>
        </w:tc>
      </w:tr>
      <w:tr w:rsidR="00425207" w:rsidTr="002A048C">
        <w:trPr>
          <w:trHeight w:val="655"/>
        </w:trPr>
        <w:tc>
          <w:tcPr>
            <w:tcW w:w="1138" w:type="dxa"/>
            <w:tcBorders>
              <w:top w:val="single" w:sz="4" w:space="0" w:color="000000"/>
              <w:left w:val="single" w:sz="4" w:space="0" w:color="000000"/>
              <w:bottom w:val="single" w:sz="4" w:space="0" w:color="000000"/>
              <w:right w:val="single" w:sz="4" w:space="0" w:color="000000"/>
            </w:tcBorders>
            <w:vAlign w:val="center"/>
          </w:tcPr>
          <w:p w:rsidR="00425207" w:rsidRDefault="00425207" w:rsidP="00425207">
            <w:pPr>
              <w:spacing w:line="259" w:lineRule="auto"/>
              <w:ind w:left="31"/>
            </w:pPr>
            <w:r>
              <w:rPr>
                <w:sz w:val="17"/>
              </w:rPr>
              <w:t xml:space="preserve">Function A   </w:t>
            </w:r>
          </w:p>
        </w:tc>
        <w:tc>
          <w:tcPr>
            <w:tcW w:w="4649" w:type="dxa"/>
            <w:tcBorders>
              <w:top w:val="single" w:sz="4" w:space="0" w:color="000000"/>
              <w:left w:val="single" w:sz="4" w:space="0" w:color="000000"/>
              <w:bottom w:val="single" w:sz="4" w:space="0" w:color="000000"/>
              <w:right w:val="single" w:sz="4" w:space="0" w:color="000000"/>
            </w:tcBorders>
          </w:tcPr>
          <w:p w:rsidR="00425207" w:rsidRDefault="00425207" w:rsidP="00425207">
            <w:pPr>
              <w:spacing w:after="4" w:line="259" w:lineRule="auto"/>
              <w:ind w:left="32"/>
            </w:pPr>
            <w:r>
              <w:rPr>
                <w:b/>
                <w:sz w:val="17"/>
              </w:rPr>
              <w:t xml:space="preserve">International Women’s Day Breakfast </w:t>
            </w:r>
          </w:p>
          <w:p w:rsidR="00425207" w:rsidRDefault="00425207" w:rsidP="00425207">
            <w:pPr>
              <w:spacing w:line="259" w:lineRule="auto"/>
              <w:ind w:left="32"/>
              <w:jc w:val="both"/>
            </w:pPr>
            <w:r>
              <w:rPr>
                <w:sz w:val="17"/>
              </w:rPr>
              <w:t>Cater and serve breakfast for female Year 8 and Year 12 students and female staff</w:t>
            </w:r>
            <w:r>
              <w:rPr>
                <w:b/>
                <w:sz w:val="17"/>
              </w:rPr>
              <w:t xml:space="preserve"> </w:t>
            </w:r>
            <w:r>
              <w:rPr>
                <w:sz w:val="17"/>
              </w:rPr>
              <w:t xml:space="preserve"> </w:t>
            </w:r>
          </w:p>
        </w:tc>
        <w:tc>
          <w:tcPr>
            <w:tcW w:w="0" w:type="auto"/>
            <w:vMerge/>
            <w:tcBorders>
              <w:top w:val="nil"/>
              <w:left w:val="single" w:sz="4" w:space="0" w:color="000000"/>
              <w:bottom w:val="nil"/>
              <w:right w:val="single" w:sz="4" w:space="0" w:color="000000"/>
            </w:tcBorders>
          </w:tcPr>
          <w:p w:rsidR="00425207" w:rsidRDefault="00425207" w:rsidP="00425207">
            <w:pPr>
              <w:spacing w:after="160" w:line="259" w:lineRule="auto"/>
            </w:pPr>
          </w:p>
        </w:tc>
      </w:tr>
      <w:tr w:rsidR="00425207" w:rsidTr="002A048C">
        <w:trPr>
          <w:trHeight w:val="656"/>
        </w:trPr>
        <w:tc>
          <w:tcPr>
            <w:tcW w:w="1138" w:type="dxa"/>
            <w:tcBorders>
              <w:top w:val="single" w:sz="4" w:space="0" w:color="000000"/>
              <w:left w:val="single" w:sz="4" w:space="0" w:color="000000"/>
              <w:bottom w:val="single" w:sz="4" w:space="0" w:color="000000"/>
              <w:right w:val="single" w:sz="4" w:space="0" w:color="000000"/>
            </w:tcBorders>
            <w:vAlign w:val="center"/>
          </w:tcPr>
          <w:p w:rsidR="00425207" w:rsidRDefault="00425207" w:rsidP="00425207">
            <w:pPr>
              <w:spacing w:line="259" w:lineRule="auto"/>
              <w:ind w:left="31"/>
            </w:pPr>
            <w:r>
              <w:rPr>
                <w:sz w:val="17"/>
              </w:rPr>
              <w:t xml:space="preserve">Function B </w:t>
            </w:r>
          </w:p>
        </w:tc>
        <w:tc>
          <w:tcPr>
            <w:tcW w:w="4649" w:type="dxa"/>
            <w:tcBorders>
              <w:top w:val="single" w:sz="4" w:space="0" w:color="000000"/>
              <w:left w:val="single" w:sz="4" w:space="0" w:color="000000"/>
              <w:bottom w:val="single" w:sz="4" w:space="0" w:color="000000"/>
              <w:right w:val="single" w:sz="4" w:space="0" w:color="000000"/>
            </w:tcBorders>
          </w:tcPr>
          <w:p w:rsidR="00425207" w:rsidRDefault="00425207" w:rsidP="00425207">
            <w:pPr>
              <w:spacing w:after="4" w:line="259" w:lineRule="auto"/>
              <w:ind w:left="32"/>
            </w:pPr>
            <w:r>
              <w:rPr>
                <w:b/>
                <w:sz w:val="17"/>
              </w:rPr>
              <w:t xml:space="preserve">Australia’s Biggest Morning Tea </w:t>
            </w:r>
          </w:p>
          <w:p w:rsidR="00425207" w:rsidRDefault="00425207" w:rsidP="00425207">
            <w:pPr>
              <w:spacing w:line="259" w:lineRule="auto"/>
              <w:ind w:left="32"/>
            </w:pPr>
            <w:r>
              <w:rPr>
                <w:sz w:val="17"/>
              </w:rPr>
              <w:t xml:space="preserve">Design, cater and serve a “High Tea” for Pioneer SHS Staff and Volunteers </w:t>
            </w:r>
          </w:p>
        </w:tc>
        <w:tc>
          <w:tcPr>
            <w:tcW w:w="0" w:type="auto"/>
            <w:vMerge/>
            <w:tcBorders>
              <w:top w:val="nil"/>
              <w:left w:val="single" w:sz="4" w:space="0" w:color="000000"/>
              <w:bottom w:val="single" w:sz="4" w:space="0" w:color="000000"/>
              <w:right w:val="single" w:sz="4" w:space="0" w:color="000000"/>
            </w:tcBorders>
          </w:tcPr>
          <w:p w:rsidR="00425207" w:rsidRDefault="00425207" w:rsidP="00425207">
            <w:pPr>
              <w:spacing w:after="160" w:line="259" w:lineRule="auto"/>
            </w:pPr>
          </w:p>
        </w:tc>
      </w:tr>
      <w:tr w:rsidR="00425207" w:rsidTr="002A048C">
        <w:trPr>
          <w:trHeight w:val="358"/>
        </w:trPr>
        <w:tc>
          <w:tcPr>
            <w:tcW w:w="1138" w:type="dxa"/>
            <w:tcBorders>
              <w:top w:val="single" w:sz="4" w:space="0" w:color="000000"/>
              <w:left w:val="single" w:sz="4" w:space="0" w:color="000000"/>
              <w:bottom w:val="single" w:sz="4" w:space="0" w:color="000000"/>
              <w:right w:val="nil"/>
            </w:tcBorders>
            <w:shd w:val="clear" w:color="auto" w:fill="A6A6A6"/>
          </w:tcPr>
          <w:p w:rsidR="00425207" w:rsidRDefault="00425207" w:rsidP="00425207">
            <w:pPr>
              <w:spacing w:line="259" w:lineRule="auto"/>
              <w:ind w:left="31"/>
            </w:pPr>
            <w:r>
              <w:rPr>
                <w:b/>
                <w:sz w:val="17"/>
              </w:rPr>
              <w:t>Year 12</w:t>
            </w:r>
            <w:r>
              <w:rPr>
                <w:sz w:val="17"/>
              </w:rPr>
              <w:t xml:space="preserve"> </w:t>
            </w:r>
          </w:p>
        </w:tc>
        <w:tc>
          <w:tcPr>
            <w:tcW w:w="4649" w:type="dxa"/>
            <w:tcBorders>
              <w:top w:val="single" w:sz="4" w:space="0" w:color="000000"/>
              <w:left w:val="nil"/>
              <w:bottom w:val="single" w:sz="4" w:space="0" w:color="000000"/>
              <w:right w:val="nil"/>
            </w:tcBorders>
            <w:shd w:val="clear" w:color="auto" w:fill="A6A6A6"/>
          </w:tcPr>
          <w:p w:rsidR="00425207" w:rsidRDefault="00425207" w:rsidP="00425207">
            <w:pPr>
              <w:spacing w:after="160" w:line="259" w:lineRule="auto"/>
            </w:pPr>
          </w:p>
        </w:tc>
        <w:tc>
          <w:tcPr>
            <w:tcW w:w="3572" w:type="dxa"/>
            <w:tcBorders>
              <w:top w:val="single" w:sz="4" w:space="0" w:color="000000"/>
              <w:left w:val="nil"/>
              <w:bottom w:val="single" w:sz="4" w:space="0" w:color="000000"/>
              <w:right w:val="single" w:sz="4" w:space="0" w:color="000000"/>
            </w:tcBorders>
            <w:shd w:val="clear" w:color="auto" w:fill="A6A6A6"/>
          </w:tcPr>
          <w:p w:rsidR="00425207" w:rsidRDefault="00425207" w:rsidP="00425207">
            <w:pPr>
              <w:spacing w:after="160" w:line="259" w:lineRule="auto"/>
            </w:pPr>
          </w:p>
        </w:tc>
      </w:tr>
      <w:tr w:rsidR="00425207" w:rsidTr="002A048C">
        <w:trPr>
          <w:trHeight w:val="359"/>
        </w:trPr>
        <w:tc>
          <w:tcPr>
            <w:tcW w:w="1138" w:type="dxa"/>
            <w:tcBorders>
              <w:top w:val="single" w:sz="4" w:space="0" w:color="000000"/>
              <w:left w:val="single" w:sz="4" w:space="0" w:color="000000"/>
              <w:bottom w:val="single" w:sz="4" w:space="0" w:color="000000"/>
              <w:right w:val="single" w:sz="4" w:space="0" w:color="000000"/>
            </w:tcBorders>
          </w:tcPr>
          <w:p w:rsidR="00425207" w:rsidRDefault="00425207" w:rsidP="00425207">
            <w:pPr>
              <w:spacing w:line="259" w:lineRule="auto"/>
              <w:ind w:left="31"/>
            </w:pPr>
            <w:r>
              <w:rPr>
                <w:sz w:val="17"/>
              </w:rPr>
              <w:t xml:space="preserve">Coffee Shop </w:t>
            </w:r>
          </w:p>
        </w:tc>
        <w:tc>
          <w:tcPr>
            <w:tcW w:w="4649" w:type="dxa"/>
            <w:tcBorders>
              <w:top w:val="single" w:sz="4" w:space="0" w:color="000000"/>
              <w:left w:val="single" w:sz="4" w:space="0" w:color="000000"/>
              <w:bottom w:val="single" w:sz="4" w:space="0" w:color="000000"/>
              <w:right w:val="single" w:sz="4" w:space="0" w:color="000000"/>
            </w:tcBorders>
          </w:tcPr>
          <w:p w:rsidR="00425207" w:rsidRDefault="00425207" w:rsidP="00425207">
            <w:pPr>
              <w:spacing w:line="259" w:lineRule="auto"/>
              <w:ind w:left="32"/>
            </w:pPr>
            <w:r>
              <w:rPr>
                <w:b/>
                <w:sz w:val="17"/>
              </w:rPr>
              <w:t xml:space="preserve">Weekly Coffee Shop (as above) </w:t>
            </w:r>
          </w:p>
        </w:tc>
        <w:tc>
          <w:tcPr>
            <w:tcW w:w="3572" w:type="dxa"/>
            <w:vMerge w:val="restart"/>
            <w:tcBorders>
              <w:top w:val="single" w:sz="4" w:space="0" w:color="000000"/>
              <w:left w:val="single" w:sz="4" w:space="0" w:color="000000"/>
              <w:bottom w:val="single" w:sz="4" w:space="0" w:color="000000"/>
              <w:right w:val="single" w:sz="4" w:space="0" w:color="000000"/>
            </w:tcBorders>
          </w:tcPr>
          <w:p w:rsidR="00425207" w:rsidRDefault="00425207" w:rsidP="00425207">
            <w:pPr>
              <w:spacing w:after="1" w:line="263" w:lineRule="auto"/>
              <w:ind w:left="32"/>
            </w:pPr>
            <w:r>
              <w:rPr>
                <w:sz w:val="17"/>
              </w:rPr>
              <w:t xml:space="preserve">SITHIND003 Use hospitality skills effectively BSBWOR203 Communicate in the workplace </w:t>
            </w:r>
          </w:p>
          <w:p w:rsidR="00425207" w:rsidRDefault="00425207" w:rsidP="00425207">
            <w:pPr>
              <w:spacing w:after="2" w:line="262" w:lineRule="auto"/>
              <w:ind w:left="32"/>
            </w:pPr>
            <w:r>
              <w:rPr>
                <w:sz w:val="17"/>
              </w:rPr>
              <w:t xml:space="preserve">SITHGAM001 Provide responsible gambling service </w:t>
            </w:r>
          </w:p>
          <w:p w:rsidR="00425207" w:rsidRDefault="00425207" w:rsidP="00425207">
            <w:pPr>
              <w:spacing w:after="1" w:line="263" w:lineRule="auto"/>
              <w:ind w:left="32"/>
            </w:pPr>
            <w:r>
              <w:rPr>
                <w:sz w:val="17"/>
              </w:rPr>
              <w:t xml:space="preserve">SITXCCS003 Interact with customers SITXCOM002 Show social and cultural sensitivity </w:t>
            </w:r>
          </w:p>
          <w:p w:rsidR="00425207" w:rsidRDefault="00425207" w:rsidP="00425207">
            <w:pPr>
              <w:spacing w:after="2" w:line="262" w:lineRule="auto"/>
              <w:ind w:left="32"/>
            </w:pPr>
            <w:r>
              <w:rPr>
                <w:sz w:val="17"/>
              </w:rPr>
              <w:t xml:space="preserve">SITHIND002 Source and use information on hospitality industry </w:t>
            </w:r>
          </w:p>
          <w:p w:rsidR="00425207" w:rsidRDefault="00425207" w:rsidP="00425207">
            <w:pPr>
              <w:spacing w:line="259" w:lineRule="auto"/>
              <w:ind w:left="32"/>
            </w:pPr>
            <w:r>
              <w:rPr>
                <w:sz w:val="17"/>
              </w:rPr>
              <w:t xml:space="preserve"> </w:t>
            </w:r>
          </w:p>
        </w:tc>
      </w:tr>
      <w:tr w:rsidR="00425207" w:rsidTr="002A048C">
        <w:trPr>
          <w:trHeight w:val="871"/>
        </w:trPr>
        <w:tc>
          <w:tcPr>
            <w:tcW w:w="1138" w:type="dxa"/>
            <w:tcBorders>
              <w:top w:val="single" w:sz="4" w:space="0" w:color="000000"/>
              <w:left w:val="single" w:sz="4" w:space="0" w:color="000000"/>
              <w:bottom w:val="single" w:sz="4" w:space="0" w:color="000000"/>
              <w:right w:val="single" w:sz="4" w:space="0" w:color="000000"/>
            </w:tcBorders>
            <w:vAlign w:val="center"/>
          </w:tcPr>
          <w:p w:rsidR="00425207" w:rsidRDefault="00425207" w:rsidP="00425207">
            <w:pPr>
              <w:spacing w:line="259" w:lineRule="auto"/>
              <w:ind w:left="31"/>
            </w:pPr>
            <w:r>
              <w:rPr>
                <w:sz w:val="17"/>
              </w:rPr>
              <w:t xml:space="preserve">Hospitality Camp </w:t>
            </w:r>
            <w:r w:rsidR="00F24316">
              <w:rPr>
                <w:sz w:val="17"/>
              </w:rPr>
              <w:t xml:space="preserve">or Tours </w:t>
            </w:r>
          </w:p>
        </w:tc>
        <w:tc>
          <w:tcPr>
            <w:tcW w:w="4649" w:type="dxa"/>
            <w:tcBorders>
              <w:top w:val="single" w:sz="4" w:space="0" w:color="000000"/>
              <w:left w:val="single" w:sz="4" w:space="0" w:color="000000"/>
              <w:bottom w:val="single" w:sz="4" w:space="0" w:color="000000"/>
              <w:right w:val="single" w:sz="4" w:space="0" w:color="000000"/>
            </w:tcBorders>
          </w:tcPr>
          <w:p w:rsidR="00425207" w:rsidRDefault="00F24316" w:rsidP="00425207">
            <w:pPr>
              <w:spacing w:after="2" w:line="259" w:lineRule="auto"/>
              <w:ind w:left="32"/>
            </w:pPr>
            <w:r>
              <w:rPr>
                <w:b/>
                <w:sz w:val="17"/>
              </w:rPr>
              <w:t xml:space="preserve">3 </w:t>
            </w:r>
            <w:r w:rsidR="00425207">
              <w:rPr>
                <w:b/>
                <w:sz w:val="17"/>
              </w:rPr>
              <w:t xml:space="preserve">day camp to Whitsundays </w:t>
            </w:r>
            <w:r>
              <w:rPr>
                <w:b/>
                <w:sz w:val="17"/>
              </w:rPr>
              <w:t>or 3 x 1 day tours</w:t>
            </w:r>
          </w:p>
          <w:p w:rsidR="00425207" w:rsidRDefault="00425207" w:rsidP="00425207">
            <w:pPr>
              <w:spacing w:line="265" w:lineRule="auto"/>
              <w:ind w:left="32"/>
              <w:jc w:val="both"/>
            </w:pPr>
            <w:r>
              <w:rPr>
                <w:sz w:val="17"/>
              </w:rPr>
              <w:t xml:space="preserve">Visiting a range of Hospitality Venues in the Whitsunday region including Island resorts, Restaurants, Cafes, Hotels, </w:t>
            </w:r>
          </w:p>
          <w:p w:rsidR="00425207" w:rsidRDefault="00425207" w:rsidP="00425207">
            <w:pPr>
              <w:spacing w:line="259" w:lineRule="auto"/>
              <w:ind w:left="32"/>
            </w:pPr>
            <w:r>
              <w:rPr>
                <w:sz w:val="17"/>
              </w:rPr>
              <w:t xml:space="preserve">Mainland resorts and Back packer accommodation </w:t>
            </w:r>
          </w:p>
        </w:tc>
        <w:tc>
          <w:tcPr>
            <w:tcW w:w="0" w:type="auto"/>
            <w:vMerge/>
            <w:tcBorders>
              <w:top w:val="nil"/>
              <w:left w:val="single" w:sz="4" w:space="0" w:color="000000"/>
              <w:bottom w:val="nil"/>
              <w:right w:val="single" w:sz="4" w:space="0" w:color="000000"/>
            </w:tcBorders>
          </w:tcPr>
          <w:p w:rsidR="00425207" w:rsidRDefault="00425207" w:rsidP="00425207">
            <w:pPr>
              <w:spacing w:after="160" w:line="259" w:lineRule="auto"/>
            </w:pPr>
          </w:p>
        </w:tc>
      </w:tr>
      <w:tr w:rsidR="00425207" w:rsidTr="002A048C">
        <w:trPr>
          <w:trHeight w:val="360"/>
        </w:trPr>
        <w:tc>
          <w:tcPr>
            <w:tcW w:w="1138" w:type="dxa"/>
            <w:tcBorders>
              <w:top w:val="single" w:sz="4" w:space="0" w:color="000000"/>
              <w:left w:val="single" w:sz="4" w:space="0" w:color="000000"/>
              <w:bottom w:val="single" w:sz="4" w:space="0" w:color="000000"/>
              <w:right w:val="single" w:sz="4" w:space="0" w:color="000000"/>
            </w:tcBorders>
          </w:tcPr>
          <w:p w:rsidR="00425207" w:rsidRDefault="00425207" w:rsidP="00425207">
            <w:pPr>
              <w:spacing w:line="259" w:lineRule="auto"/>
              <w:ind w:left="31"/>
            </w:pPr>
            <w:r>
              <w:rPr>
                <w:sz w:val="17"/>
              </w:rPr>
              <w:t xml:space="preserve">Work Placement </w:t>
            </w:r>
          </w:p>
        </w:tc>
        <w:tc>
          <w:tcPr>
            <w:tcW w:w="4649" w:type="dxa"/>
            <w:tcBorders>
              <w:top w:val="single" w:sz="4" w:space="0" w:color="000000"/>
              <w:left w:val="single" w:sz="4" w:space="0" w:color="000000"/>
              <w:bottom w:val="single" w:sz="4" w:space="0" w:color="000000"/>
              <w:right w:val="single" w:sz="4" w:space="0" w:color="000000"/>
            </w:tcBorders>
          </w:tcPr>
          <w:p w:rsidR="00425207" w:rsidRDefault="00425207" w:rsidP="00425207">
            <w:pPr>
              <w:spacing w:line="259" w:lineRule="auto"/>
              <w:ind w:left="32"/>
            </w:pPr>
            <w:r>
              <w:rPr>
                <w:b/>
                <w:sz w:val="17"/>
              </w:rPr>
              <w:t xml:space="preserve">Work Placement in an approved venue 1 week </w:t>
            </w:r>
          </w:p>
        </w:tc>
        <w:tc>
          <w:tcPr>
            <w:tcW w:w="0" w:type="auto"/>
            <w:vMerge/>
            <w:tcBorders>
              <w:top w:val="nil"/>
              <w:left w:val="single" w:sz="4" w:space="0" w:color="000000"/>
              <w:bottom w:val="nil"/>
              <w:right w:val="single" w:sz="4" w:space="0" w:color="000000"/>
            </w:tcBorders>
          </w:tcPr>
          <w:p w:rsidR="00425207" w:rsidRDefault="00425207" w:rsidP="00425207">
            <w:pPr>
              <w:spacing w:after="160" w:line="259" w:lineRule="auto"/>
            </w:pPr>
          </w:p>
        </w:tc>
      </w:tr>
      <w:tr w:rsidR="00425207" w:rsidTr="002A048C">
        <w:trPr>
          <w:trHeight w:val="653"/>
        </w:trPr>
        <w:tc>
          <w:tcPr>
            <w:tcW w:w="1138" w:type="dxa"/>
            <w:tcBorders>
              <w:top w:val="single" w:sz="4" w:space="0" w:color="000000"/>
              <w:left w:val="single" w:sz="4" w:space="0" w:color="000000"/>
              <w:bottom w:val="single" w:sz="4" w:space="0" w:color="000000"/>
              <w:right w:val="single" w:sz="4" w:space="0" w:color="000000"/>
            </w:tcBorders>
            <w:vAlign w:val="center"/>
          </w:tcPr>
          <w:p w:rsidR="00425207" w:rsidRDefault="00425207" w:rsidP="00425207">
            <w:pPr>
              <w:spacing w:line="259" w:lineRule="auto"/>
              <w:ind w:left="31"/>
            </w:pPr>
            <w:r>
              <w:rPr>
                <w:sz w:val="17"/>
              </w:rPr>
              <w:t xml:space="preserve">Function C </w:t>
            </w:r>
          </w:p>
        </w:tc>
        <w:tc>
          <w:tcPr>
            <w:tcW w:w="4649" w:type="dxa"/>
            <w:tcBorders>
              <w:top w:val="single" w:sz="4" w:space="0" w:color="000000"/>
              <w:left w:val="single" w:sz="4" w:space="0" w:color="000000"/>
              <w:bottom w:val="single" w:sz="4" w:space="0" w:color="000000"/>
              <w:right w:val="single" w:sz="4" w:space="0" w:color="000000"/>
            </w:tcBorders>
          </w:tcPr>
          <w:p w:rsidR="00425207" w:rsidRDefault="00425207" w:rsidP="00425207">
            <w:pPr>
              <w:spacing w:after="2" w:line="259" w:lineRule="auto"/>
              <w:ind w:left="32"/>
            </w:pPr>
            <w:r>
              <w:rPr>
                <w:b/>
                <w:sz w:val="17"/>
              </w:rPr>
              <w:t xml:space="preserve">Industry Breakfast  </w:t>
            </w:r>
          </w:p>
          <w:p w:rsidR="00425207" w:rsidRDefault="00425207" w:rsidP="00425207">
            <w:pPr>
              <w:spacing w:line="259" w:lineRule="auto"/>
              <w:ind w:left="32"/>
              <w:jc w:val="both"/>
            </w:pPr>
            <w:r>
              <w:rPr>
                <w:sz w:val="17"/>
              </w:rPr>
              <w:t xml:space="preserve">Cater and serve breakfast for local employers involved in the Pioneer SHS SATs program </w:t>
            </w:r>
          </w:p>
        </w:tc>
        <w:tc>
          <w:tcPr>
            <w:tcW w:w="0" w:type="auto"/>
            <w:vMerge/>
            <w:tcBorders>
              <w:top w:val="nil"/>
              <w:left w:val="single" w:sz="4" w:space="0" w:color="000000"/>
              <w:bottom w:val="nil"/>
              <w:right w:val="single" w:sz="4" w:space="0" w:color="000000"/>
            </w:tcBorders>
          </w:tcPr>
          <w:p w:rsidR="00425207" w:rsidRDefault="00425207" w:rsidP="00425207">
            <w:pPr>
              <w:spacing w:after="160" w:line="259" w:lineRule="auto"/>
            </w:pPr>
          </w:p>
        </w:tc>
      </w:tr>
      <w:tr w:rsidR="00425207" w:rsidTr="002A048C">
        <w:trPr>
          <w:trHeight w:val="442"/>
        </w:trPr>
        <w:tc>
          <w:tcPr>
            <w:tcW w:w="1138" w:type="dxa"/>
            <w:tcBorders>
              <w:top w:val="single" w:sz="4" w:space="0" w:color="000000"/>
              <w:left w:val="single" w:sz="4" w:space="0" w:color="000000"/>
              <w:bottom w:val="single" w:sz="4" w:space="0" w:color="000000"/>
              <w:right w:val="single" w:sz="4" w:space="0" w:color="000000"/>
            </w:tcBorders>
            <w:vAlign w:val="center"/>
          </w:tcPr>
          <w:p w:rsidR="00425207" w:rsidRDefault="00425207" w:rsidP="00425207">
            <w:pPr>
              <w:spacing w:line="259" w:lineRule="auto"/>
              <w:ind w:left="31"/>
            </w:pPr>
            <w:r>
              <w:rPr>
                <w:sz w:val="17"/>
              </w:rPr>
              <w:t xml:space="preserve">Function D </w:t>
            </w:r>
          </w:p>
        </w:tc>
        <w:tc>
          <w:tcPr>
            <w:tcW w:w="4649" w:type="dxa"/>
            <w:tcBorders>
              <w:top w:val="single" w:sz="4" w:space="0" w:color="000000"/>
              <w:left w:val="single" w:sz="4" w:space="0" w:color="000000"/>
              <w:bottom w:val="single" w:sz="4" w:space="0" w:color="000000"/>
              <w:right w:val="single" w:sz="4" w:space="0" w:color="000000"/>
            </w:tcBorders>
          </w:tcPr>
          <w:p w:rsidR="00425207" w:rsidRDefault="00425207" w:rsidP="00425207">
            <w:pPr>
              <w:spacing w:after="2" w:line="259" w:lineRule="auto"/>
              <w:ind w:left="32"/>
            </w:pPr>
            <w:r>
              <w:rPr>
                <w:b/>
                <w:sz w:val="17"/>
              </w:rPr>
              <w:t xml:space="preserve">Melbourne Cup Lunch  </w:t>
            </w:r>
          </w:p>
          <w:p w:rsidR="00425207" w:rsidRDefault="00425207" w:rsidP="00425207">
            <w:pPr>
              <w:spacing w:line="259" w:lineRule="auto"/>
              <w:ind w:left="32"/>
            </w:pPr>
            <w:r>
              <w:rPr>
                <w:sz w:val="17"/>
              </w:rPr>
              <w:t xml:space="preserve">Design, cater and serve a Melbourne Cup Lunch </w:t>
            </w:r>
          </w:p>
        </w:tc>
        <w:tc>
          <w:tcPr>
            <w:tcW w:w="0" w:type="auto"/>
            <w:vMerge/>
            <w:tcBorders>
              <w:top w:val="nil"/>
              <w:left w:val="single" w:sz="4" w:space="0" w:color="000000"/>
              <w:bottom w:val="single" w:sz="4" w:space="0" w:color="000000"/>
              <w:right w:val="single" w:sz="4" w:space="0" w:color="000000"/>
            </w:tcBorders>
          </w:tcPr>
          <w:p w:rsidR="00425207" w:rsidRDefault="00425207" w:rsidP="00425207">
            <w:pPr>
              <w:spacing w:after="160" w:line="259" w:lineRule="auto"/>
            </w:pPr>
          </w:p>
        </w:tc>
      </w:tr>
    </w:tbl>
    <w:p w:rsidR="00425207" w:rsidRDefault="00425207" w:rsidP="00425207">
      <w:pPr>
        <w:spacing w:after="4" w:line="259" w:lineRule="auto"/>
      </w:pPr>
      <w:r>
        <w:t xml:space="preserve"> </w:t>
      </w:r>
    </w:p>
    <w:p w:rsidR="00425207" w:rsidRDefault="00425207" w:rsidP="00425207">
      <w:pPr>
        <w:spacing w:after="4" w:line="267" w:lineRule="auto"/>
        <w:ind w:left="-5" w:right="42"/>
        <w:jc w:val="both"/>
      </w:pPr>
      <w:r>
        <w:rPr>
          <w:b/>
        </w:rPr>
        <w:t xml:space="preserve">ASSESSMENT:    </w:t>
      </w:r>
      <w:r>
        <w:t xml:space="preserve">Assessment is competency based and therefore no levels of achievement are awarded.  Assessment includes observation, portfolios, questioning and feedback from workplace supervisors. </w:t>
      </w:r>
    </w:p>
    <w:p w:rsidR="00425207" w:rsidRDefault="00425207" w:rsidP="00425207">
      <w:pPr>
        <w:spacing w:after="4" w:line="259" w:lineRule="auto"/>
      </w:pPr>
    </w:p>
    <w:p w:rsidR="00425207" w:rsidRDefault="00425207" w:rsidP="00425207">
      <w:pPr>
        <w:spacing w:after="2" w:line="259" w:lineRule="auto"/>
        <w:ind w:left="-5"/>
      </w:pPr>
      <w:r>
        <w:rPr>
          <w:b/>
        </w:rPr>
        <w:t>MINIMUM SUGGESTED WEELKY HOMEWORK TIME</w:t>
      </w:r>
      <w:r>
        <w:t xml:space="preserve">: 1 hour </w:t>
      </w:r>
    </w:p>
    <w:p w:rsidR="00425207" w:rsidRDefault="00425207" w:rsidP="00425207">
      <w:pPr>
        <w:spacing w:after="4" w:line="259" w:lineRule="auto"/>
      </w:pPr>
      <w:r>
        <w:t xml:space="preserve"> </w:t>
      </w:r>
    </w:p>
    <w:p w:rsidR="00425207" w:rsidRDefault="00425207" w:rsidP="00425207">
      <w:pPr>
        <w:spacing w:after="1"/>
        <w:ind w:left="-5" w:right="46"/>
      </w:pPr>
      <w:r>
        <w:rPr>
          <w:b/>
        </w:rPr>
        <w:t xml:space="preserve">FURTHER INFORMATION: </w:t>
      </w:r>
      <w:r>
        <w:t xml:space="preserve">  Contact the VET HOD, Mrs Sally Munns – </w:t>
      </w:r>
      <w:r>
        <w:rPr>
          <w:color w:val="0000FF"/>
        </w:rPr>
        <w:t>smunn6@eq.edu.au</w:t>
      </w:r>
      <w:r>
        <w:t xml:space="preserve">.  Students will be provided with access to a Student VET Handbook. </w:t>
      </w:r>
    </w:p>
    <w:p w:rsidR="00425207" w:rsidRDefault="00425207" w:rsidP="00425207">
      <w:pPr>
        <w:spacing w:after="120" w:line="259" w:lineRule="auto"/>
      </w:pPr>
      <w:r>
        <w:rPr>
          <w:sz w:val="8"/>
        </w:rPr>
        <w:t xml:space="preserve"> </w:t>
      </w:r>
    </w:p>
    <w:p w:rsidR="00425207" w:rsidRDefault="00425207" w:rsidP="00425207">
      <w:pPr>
        <w:spacing w:after="2"/>
        <w:ind w:left="-5" w:right="46"/>
      </w:pPr>
      <w:r>
        <w:rPr>
          <w:b/>
        </w:rPr>
        <w:t>SERVICE AGREEMENT:</w:t>
      </w:r>
      <w:r>
        <w:t xml:space="preserve">   This is a two year course.  The RTO guarantees that the student will be provided with every opportunity to complete the certificate as per the rights and obligations outlined in the enrolment process and information handbooks provided.  If the certificate course is no longer offered through our school, arrangements will be made for the student to complete this through an outside RTO.  Students successfully achieving all qualifications requirements will be provided with a Qualification Certificate and record of results.  Students who achieve at least one unit (but not the full qualification) will receive a Statement of Attainment.  We have a complaints and appeals policy available of the Pioneer SHS website.   </w:t>
      </w:r>
    </w:p>
    <w:p w:rsidR="00425207" w:rsidRDefault="00425207" w:rsidP="00425207">
      <w:pPr>
        <w:spacing w:after="53" w:line="259" w:lineRule="auto"/>
      </w:pPr>
      <w:r>
        <w:t xml:space="preserve"> </w:t>
      </w:r>
    </w:p>
    <w:p w:rsidR="00425207" w:rsidRDefault="00425207" w:rsidP="00425207">
      <w:pPr>
        <w:spacing w:after="26"/>
        <w:ind w:left="-5" w:right="46"/>
      </w:pPr>
      <w:r>
        <w:t>Correct at time of publication (8</w:t>
      </w:r>
      <w:r w:rsidR="00F24316">
        <w:t xml:space="preserve"> </w:t>
      </w:r>
      <w:r>
        <w:t>August 2019) but subject to change.</w:t>
      </w:r>
      <w:r>
        <w:rPr>
          <w:b/>
          <w:i/>
          <w:sz w:val="28"/>
        </w:rPr>
        <w:t xml:space="preserve"> </w:t>
      </w:r>
    </w:p>
    <w:p w:rsidR="005B6F69" w:rsidRDefault="00425207" w:rsidP="005B6F69">
      <w:pPr>
        <w:spacing w:line="259" w:lineRule="auto"/>
      </w:pPr>
      <w:r>
        <w:rPr>
          <w:b/>
          <w:i/>
          <w:sz w:val="28"/>
        </w:rPr>
        <w:t xml:space="preserve"> </w:t>
      </w:r>
      <w:r>
        <w:rPr>
          <w:b/>
          <w:i/>
          <w:sz w:val="28"/>
        </w:rPr>
        <w:tab/>
        <w:t xml:space="preserve"> </w:t>
      </w:r>
      <w:r>
        <w:br w:type="page"/>
      </w:r>
    </w:p>
    <w:p w:rsidR="0095689C" w:rsidRDefault="00425207" w:rsidP="005B6F69">
      <w:pPr>
        <w:spacing w:line="259" w:lineRule="auto"/>
        <w:rPr>
          <w:rFonts w:eastAsia="Arial" w:cs="Arial"/>
          <w:b/>
          <w:color w:val="6D6F70"/>
          <w:sz w:val="28"/>
        </w:rPr>
      </w:pPr>
      <w:r>
        <w:rPr>
          <w:noProof/>
          <w:lang w:eastAsia="zh-TW"/>
        </w:rPr>
        <w:drawing>
          <wp:anchor distT="0" distB="0" distL="114300" distR="114300" simplePos="0" relativeHeight="251659264" behindDoc="0" locked="0" layoutInCell="1" allowOverlap="0" wp14:anchorId="3FB1C877" wp14:editId="226463CF">
            <wp:simplePos x="0" y="0"/>
            <wp:positionH relativeFrom="column">
              <wp:posOffset>4960438</wp:posOffset>
            </wp:positionH>
            <wp:positionV relativeFrom="paragraph">
              <wp:posOffset>0</wp:posOffset>
            </wp:positionV>
            <wp:extent cx="798576" cy="679704"/>
            <wp:effectExtent l="0" t="0" r="0" b="0"/>
            <wp:wrapSquare wrapText="bothSides"/>
            <wp:docPr id="16233" name="Picture 16233"/>
            <wp:cNvGraphicFramePr/>
            <a:graphic xmlns:a="http://schemas.openxmlformats.org/drawingml/2006/main">
              <a:graphicData uri="http://schemas.openxmlformats.org/drawingml/2006/picture">
                <pic:pic xmlns:pic="http://schemas.openxmlformats.org/drawingml/2006/picture">
                  <pic:nvPicPr>
                    <pic:cNvPr id="16233" name="Picture 16233"/>
                    <pic:cNvPicPr/>
                  </pic:nvPicPr>
                  <pic:blipFill>
                    <a:blip r:embed="rId48"/>
                    <a:stretch>
                      <a:fillRect/>
                    </a:stretch>
                  </pic:blipFill>
                  <pic:spPr>
                    <a:xfrm>
                      <a:off x="0" y="0"/>
                      <a:ext cx="798576" cy="679704"/>
                    </a:xfrm>
                    <a:prstGeom prst="rect">
                      <a:avLst/>
                    </a:prstGeom>
                  </pic:spPr>
                </pic:pic>
              </a:graphicData>
            </a:graphic>
          </wp:anchor>
        </w:drawing>
      </w:r>
      <w:bookmarkStart w:id="343" w:name="_Toc16206746"/>
      <w:bookmarkStart w:id="344" w:name="_Toc16163692"/>
      <w:r w:rsidR="002A048C" w:rsidRPr="0095689C">
        <w:rPr>
          <w:rStyle w:val="Heading2Char"/>
          <w:rFonts w:eastAsia="Arial"/>
        </w:rPr>
        <w:t xml:space="preserve">SIS30315 </w:t>
      </w:r>
      <w:r w:rsidR="00EF1C54" w:rsidRPr="0095689C">
        <w:rPr>
          <w:rStyle w:val="Heading2Char"/>
          <w:rFonts w:eastAsia="Arial"/>
        </w:rPr>
        <w:t>CERTIFICATE III IN FITNESS</w:t>
      </w:r>
      <w:bookmarkEnd w:id="343"/>
      <w:r w:rsidR="00EF1C54" w:rsidRPr="00547419">
        <w:rPr>
          <w:rStyle w:val="Heading1Char"/>
          <w:rFonts w:eastAsia="Arial"/>
        </w:rPr>
        <w:t xml:space="preserve"> </w:t>
      </w:r>
      <w:r w:rsidR="00EF1C54" w:rsidRPr="008255B5">
        <w:rPr>
          <w:rFonts w:eastAsia="Arial" w:cs="Arial"/>
          <w:b/>
          <w:color w:val="6D6F70"/>
          <w:sz w:val="28"/>
        </w:rPr>
        <w:t xml:space="preserve"> </w:t>
      </w:r>
    </w:p>
    <w:p w:rsidR="00EF1C54" w:rsidRPr="00223436" w:rsidRDefault="00EF1C54" w:rsidP="00EF1C54">
      <w:pPr>
        <w:keepNext/>
        <w:keepLines/>
        <w:tabs>
          <w:tab w:val="center" w:pos="7474"/>
        </w:tabs>
        <w:spacing w:after="5"/>
        <w:outlineLvl w:val="2"/>
        <w:rPr>
          <w:rFonts w:eastAsia="Arial" w:cs="Arial"/>
          <w:b/>
          <w:color w:val="6D6F70"/>
          <w:sz w:val="28"/>
        </w:rPr>
      </w:pPr>
      <w:r w:rsidRPr="008255B5">
        <w:rPr>
          <w:rFonts w:eastAsia="Arial" w:cs="Arial"/>
          <w:b/>
          <w:color w:val="6D6F70"/>
          <w:sz w:val="28"/>
        </w:rPr>
        <w:t>Partnership with Binnacle Training (RTO Code: 31319)</w:t>
      </w:r>
      <w:bookmarkEnd w:id="344"/>
      <w:r w:rsidRPr="00223436">
        <w:rPr>
          <w:rFonts w:eastAsia="Arial" w:cs="Arial"/>
          <w:b/>
          <w:color w:val="6D6F70"/>
          <w:sz w:val="28"/>
        </w:rPr>
        <w:t xml:space="preserve">  </w:t>
      </w:r>
      <w:r w:rsidRPr="00223436">
        <w:rPr>
          <w:rFonts w:eastAsia="Arial" w:cs="Arial"/>
          <w:b/>
          <w:i/>
          <w:color w:val="000000"/>
          <w:sz w:val="49"/>
          <w:vertAlign w:val="superscript"/>
        </w:rPr>
        <w:tab/>
      </w:r>
      <w:r w:rsidRPr="00223436">
        <w:rPr>
          <w:rFonts w:eastAsia="Arial" w:cs="Arial"/>
          <w:b/>
          <w:i/>
          <w:color w:val="000000"/>
          <w:sz w:val="49"/>
          <w:vertAlign w:val="subscript"/>
        </w:rPr>
        <w:t xml:space="preserve"> </w:t>
      </w:r>
    </w:p>
    <w:p w:rsidR="00EF1C54" w:rsidRPr="00223436" w:rsidRDefault="00EF1C54" w:rsidP="00EF1C54">
      <w:pPr>
        <w:ind w:left="7474"/>
        <w:rPr>
          <w:rFonts w:eastAsia="Arial" w:cs="Arial"/>
          <w:color w:val="000000"/>
        </w:rPr>
      </w:pPr>
      <w:r w:rsidRPr="00223436">
        <w:rPr>
          <w:rFonts w:eastAsia="Arial" w:cs="Arial"/>
          <w:b/>
          <w:i/>
          <w:color w:val="000000"/>
          <w:sz w:val="32"/>
        </w:rPr>
        <w:t xml:space="preserve"> </w:t>
      </w:r>
    </w:p>
    <w:p w:rsidR="00EF1C54" w:rsidRPr="00223436" w:rsidRDefault="00EF1C54" w:rsidP="005B6F69">
      <w:pPr>
        <w:spacing w:after="25"/>
        <w:rPr>
          <w:rFonts w:eastAsia="Arial" w:cs="Arial"/>
          <w:color w:val="000000"/>
        </w:rPr>
      </w:pPr>
      <w:r w:rsidRPr="00223436">
        <w:rPr>
          <w:rFonts w:eastAsia="Arial" w:cs="Arial"/>
          <w:b/>
          <w:i/>
          <w:color w:val="000000"/>
        </w:rPr>
        <w:t xml:space="preserve"> </w:t>
      </w:r>
      <w:r w:rsidRPr="00223436">
        <w:rPr>
          <w:rFonts w:eastAsia="Arial" w:cs="Arial"/>
          <w:b/>
          <w:color w:val="000000"/>
        </w:rPr>
        <w:t>SUBJECT TYPE:</w:t>
      </w:r>
      <w:r w:rsidRPr="00223436">
        <w:rPr>
          <w:rFonts w:eastAsia="Arial" w:cs="Arial"/>
          <w:color w:val="000000"/>
        </w:rPr>
        <w:t xml:space="preserve"> VET qualification</w:t>
      </w:r>
      <w:r w:rsidRPr="00223436">
        <w:rPr>
          <w:rFonts w:eastAsia="Arial" w:cs="Arial"/>
          <w:color w:val="000000"/>
        </w:rPr>
        <w:tab/>
        <w:t xml:space="preserve"> </w:t>
      </w:r>
      <w:r w:rsidRPr="00223436">
        <w:rPr>
          <w:rFonts w:eastAsia="Arial" w:cs="Arial"/>
          <w:color w:val="000000"/>
        </w:rPr>
        <w:tab/>
        <w:t xml:space="preserve"> </w:t>
      </w:r>
      <w:r w:rsidRPr="00223436">
        <w:rPr>
          <w:rFonts w:eastAsia="Arial" w:cs="Arial"/>
          <w:color w:val="000000"/>
        </w:rPr>
        <w:tab/>
        <w:t xml:space="preserve"> </w:t>
      </w:r>
      <w:r w:rsidRPr="00223436">
        <w:rPr>
          <w:rFonts w:eastAsia="Arial" w:cs="Arial"/>
          <w:color w:val="000000"/>
        </w:rPr>
        <w:tab/>
        <w:t xml:space="preserve"> </w:t>
      </w:r>
    </w:p>
    <w:p w:rsidR="00EF1C54" w:rsidRPr="00223436" w:rsidRDefault="00EF1C54" w:rsidP="00EF1C54">
      <w:pPr>
        <w:spacing w:after="22"/>
        <w:rPr>
          <w:rFonts w:eastAsia="Arial" w:cs="Arial"/>
          <w:color w:val="000000"/>
        </w:rPr>
      </w:pPr>
      <w:r w:rsidRPr="00223436">
        <w:rPr>
          <w:rFonts w:eastAsia="Arial" w:cs="Arial"/>
          <w:b/>
          <w:color w:val="000000"/>
        </w:rPr>
        <w:t xml:space="preserve"> </w:t>
      </w:r>
    </w:p>
    <w:p w:rsidR="00EF1C54" w:rsidRPr="00223436" w:rsidRDefault="00EF1C54" w:rsidP="002A048C">
      <w:pPr>
        <w:tabs>
          <w:tab w:val="right" w:pos="8931"/>
        </w:tabs>
        <w:spacing w:after="2"/>
        <w:ind w:left="-15"/>
        <w:rPr>
          <w:rFonts w:eastAsia="Arial" w:cs="Arial"/>
          <w:color w:val="000000"/>
        </w:rPr>
      </w:pPr>
      <w:r w:rsidRPr="00223436">
        <w:rPr>
          <w:rFonts w:eastAsia="Arial" w:cs="Arial"/>
          <w:b/>
          <w:color w:val="000000"/>
        </w:rPr>
        <w:t>DURATION:</w:t>
      </w:r>
      <w:r w:rsidR="002A048C">
        <w:rPr>
          <w:rFonts w:eastAsia="Arial" w:cs="Arial"/>
          <w:color w:val="000000"/>
        </w:rPr>
        <w:t xml:space="preserve">  Two years  </w:t>
      </w:r>
      <w:r w:rsidR="002A048C">
        <w:rPr>
          <w:rFonts w:eastAsia="Arial" w:cs="Arial"/>
          <w:color w:val="000000"/>
        </w:rPr>
        <w:tab/>
      </w:r>
      <w:r w:rsidRPr="008255B5">
        <w:rPr>
          <w:rFonts w:eastAsia="Arial" w:cs="Arial"/>
          <w:b/>
          <w:color w:val="000000"/>
        </w:rPr>
        <w:t>8 QCE Points Possible</w:t>
      </w:r>
      <w:r w:rsidRPr="00223436">
        <w:rPr>
          <w:rFonts w:eastAsia="Arial" w:cs="Arial"/>
          <w:b/>
          <w:color w:val="000000"/>
        </w:rPr>
        <w:t xml:space="preserve"> </w:t>
      </w:r>
    </w:p>
    <w:p w:rsidR="00EF1C54" w:rsidRDefault="00EF1C54" w:rsidP="00EF1C54">
      <w:pPr>
        <w:spacing w:after="71" w:line="260" w:lineRule="auto"/>
        <w:ind w:left="-5" w:right="46" w:hanging="10"/>
        <w:rPr>
          <w:rFonts w:eastAsia="Arial" w:cs="Arial"/>
          <w:b/>
          <w:color w:val="000000"/>
        </w:rPr>
      </w:pPr>
    </w:p>
    <w:p w:rsidR="00EF1C54" w:rsidRPr="00223436" w:rsidRDefault="00EF1C54" w:rsidP="00EF1C54">
      <w:pPr>
        <w:spacing w:after="71" w:line="260" w:lineRule="auto"/>
        <w:ind w:left="-5" w:right="46" w:hanging="10"/>
        <w:rPr>
          <w:rFonts w:eastAsia="Arial" w:cs="Arial"/>
          <w:color w:val="000000"/>
        </w:rPr>
      </w:pPr>
      <w:r w:rsidRPr="00223436">
        <w:rPr>
          <w:rFonts w:eastAsia="Arial" w:cs="Arial"/>
          <w:b/>
          <w:color w:val="000000"/>
        </w:rPr>
        <w:t>DELIVERED:</w:t>
      </w:r>
      <w:r w:rsidRPr="00223436">
        <w:rPr>
          <w:rFonts w:eastAsia="Arial" w:cs="Arial"/>
          <w:color w:val="000000"/>
        </w:rPr>
        <w:t xml:space="preserve">  On site at Pioneer SHS </w:t>
      </w:r>
    </w:p>
    <w:p w:rsidR="00EF1C54" w:rsidRPr="00223436" w:rsidRDefault="00EF1C54" w:rsidP="00EF1C54">
      <w:pPr>
        <w:rPr>
          <w:rFonts w:eastAsia="Arial" w:cs="Arial"/>
          <w:color w:val="000000"/>
        </w:rPr>
      </w:pPr>
      <w:r w:rsidRPr="00223436">
        <w:rPr>
          <w:rFonts w:eastAsia="Arial" w:cs="Arial"/>
          <w:b/>
          <w:i/>
          <w:color w:val="000000"/>
          <w:sz w:val="28"/>
        </w:rPr>
        <w:t xml:space="preserve"> </w:t>
      </w:r>
    </w:p>
    <w:p w:rsidR="00EF1C54" w:rsidRPr="00223436" w:rsidRDefault="00EF1C54" w:rsidP="00EF1C54">
      <w:pPr>
        <w:spacing w:after="4" w:line="267" w:lineRule="auto"/>
        <w:ind w:left="-5" w:right="42" w:hanging="10"/>
        <w:jc w:val="both"/>
        <w:rPr>
          <w:rFonts w:eastAsia="Arial" w:cs="Arial"/>
          <w:color w:val="000000"/>
        </w:rPr>
      </w:pPr>
      <w:r w:rsidRPr="00223436">
        <w:rPr>
          <w:rFonts w:eastAsia="Arial" w:cs="Arial"/>
          <w:b/>
          <w:color w:val="000000"/>
        </w:rPr>
        <w:t>IMPORTANT:</w:t>
      </w:r>
      <w:r w:rsidRPr="00223436">
        <w:rPr>
          <w:rFonts w:eastAsia="Arial" w:cs="Arial"/>
          <w:color w:val="000000"/>
        </w:rPr>
        <w:t xml:space="preserve">  This Subject Outline is to be read in conjunction with Binnacle Training's Program Disclosure Statement (PDS).  The PDS sets out the services and training products Binnacle Training provides and those services carried out by the 'Partner School' (i.e. the delivery of training and assessment services).   </w:t>
      </w:r>
    </w:p>
    <w:p w:rsidR="00EF1C54" w:rsidRPr="00223436" w:rsidRDefault="00EF1C54" w:rsidP="00EF1C54">
      <w:pPr>
        <w:spacing w:after="161" w:line="260" w:lineRule="auto"/>
        <w:ind w:left="-5" w:right="46" w:hanging="10"/>
        <w:rPr>
          <w:rFonts w:eastAsia="Arial" w:cs="Arial"/>
          <w:color w:val="000000"/>
        </w:rPr>
      </w:pPr>
      <w:r w:rsidRPr="00223436">
        <w:rPr>
          <w:rFonts w:eastAsia="Arial" w:cs="Arial"/>
          <w:color w:val="000000"/>
        </w:rPr>
        <w:t xml:space="preserve">To access Binnacle's PDS, visit:  </w:t>
      </w:r>
      <w:r w:rsidRPr="00223436">
        <w:rPr>
          <w:rFonts w:eastAsia="Arial" w:cs="Arial"/>
          <w:color w:val="000000"/>
          <w:u w:val="single" w:color="000000"/>
        </w:rPr>
        <w:t>http://www.binnacletraining.com.au/rto.php</w:t>
      </w:r>
      <w:r w:rsidRPr="00223436">
        <w:rPr>
          <w:rFonts w:eastAsia="Arial" w:cs="Arial"/>
          <w:color w:val="000000"/>
        </w:rPr>
        <w:t xml:space="preserve">  and select ‘RTO Files’.  </w:t>
      </w:r>
    </w:p>
    <w:p w:rsidR="00EF1C54" w:rsidRPr="00223436" w:rsidRDefault="00EF1C54" w:rsidP="00EF1C54">
      <w:pPr>
        <w:spacing w:after="155" w:line="267" w:lineRule="auto"/>
        <w:ind w:left="-5" w:right="42" w:hanging="10"/>
        <w:jc w:val="both"/>
        <w:rPr>
          <w:rFonts w:eastAsia="Arial" w:cs="Arial"/>
          <w:color w:val="000000"/>
        </w:rPr>
      </w:pPr>
      <w:r w:rsidRPr="00223436">
        <w:rPr>
          <w:rFonts w:eastAsia="Arial" w:cs="Arial"/>
          <w:b/>
          <w:color w:val="000000"/>
        </w:rPr>
        <w:t>REASONS TO STUDY THE SUBJECT</w:t>
      </w:r>
      <w:r w:rsidRPr="00223436">
        <w:rPr>
          <w:rFonts w:eastAsia="Arial" w:cs="Arial"/>
          <w:color w:val="000000"/>
        </w:rPr>
        <w:t xml:space="preserve">:     Binnacle’s Certificate III in Fitness ‘Fitness in Schools’ program is offered as a senior subject where students deliver a range of fitness programs and services to clients within their school community.  Graduates will be competent in a range of essential skills – such as undertaking client health assessments, planning and delivering fitness programs, and conducting group fitness sessions in indoor and outdoor fitness settings, including with older adult clients. </w:t>
      </w:r>
    </w:p>
    <w:p w:rsidR="00EF1C54" w:rsidRPr="00223436" w:rsidRDefault="00EF1C54" w:rsidP="00EF1C54">
      <w:pPr>
        <w:spacing w:after="158" w:line="267" w:lineRule="auto"/>
        <w:ind w:left="-5" w:right="42" w:hanging="10"/>
        <w:jc w:val="both"/>
        <w:rPr>
          <w:rFonts w:eastAsia="Arial" w:cs="Arial"/>
          <w:color w:val="000000"/>
        </w:rPr>
      </w:pPr>
      <w:r w:rsidRPr="00223436">
        <w:rPr>
          <w:rFonts w:eastAsia="Arial" w:cs="Arial"/>
          <w:b/>
          <w:color w:val="000000"/>
          <w:u w:val="single" w:color="000000"/>
        </w:rPr>
        <w:t>QCE Credits</w:t>
      </w:r>
      <w:r w:rsidRPr="00223436">
        <w:rPr>
          <w:rFonts w:eastAsia="Arial" w:cs="Arial"/>
          <w:b/>
          <w:color w:val="000000"/>
        </w:rPr>
        <w:t>:</w:t>
      </w:r>
      <w:r w:rsidRPr="00223436">
        <w:rPr>
          <w:rFonts w:eastAsia="Arial" w:cs="Arial"/>
          <w:color w:val="000000"/>
        </w:rPr>
        <w:t xml:space="preserve"> Successful completion of the Certificate III in Fitness contributes eight (8) credits towards a student’s QCE. A maximum of eight credits from the same training package can contribute to a QCE </w:t>
      </w:r>
    </w:p>
    <w:p w:rsidR="00EF1C54" w:rsidRPr="00223436" w:rsidRDefault="00EF1C54" w:rsidP="00EF1C54">
      <w:pPr>
        <w:spacing w:after="80" w:line="260" w:lineRule="auto"/>
        <w:ind w:left="-5" w:right="46" w:hanging="10"/>
        <w:rPr>
          <w:rFonts w:eastAsia="Arial" w:cs="Arial"/>
          <w:color w:val="000000"/>
        </w:rPr>
      </w:pPr>
      <w:r w:rsidRPr="00223436">
        <w:rPr>
          <w:rFonts w:eastAsia="Arial" w:cs="Arial"/>
          <w:color w:val="000000"/>
        </w:rPr>
        <w:t xml:space="preserve">This program also includes the following: </w:t>
      </w:r>
    </w:p>
    <w:p w:rsidR="00EF1C54" w:rsidRPr="00223436" w:rsidRDefault="00EF1C54" w:rsidP="002A048C">
      <w:pPr>
        <w:spacing w:after="62" w:line="260" w:lineRule="auto"/>
        <w:ind w:right="46"/>
        <w:rPr>
          <w:rFonts w:eastAsia="Arial" w:cs="Arial"/>
          <w:color w:val="000000"/>
        </w:rPr>
      </w:pPr>
      <w:r w:rsidRPr="002A048C">
        <w:rPr>
          <w:rFonts w:eastAsia="Arial" w:cs="Arial"/>
          <w:b/>
          <w:color w:val="000000"/>
        </w:rPr>
        <w:t>First Aid</w:t>
      </w:r>
      <w:r w:rsidRPr="00223436">
        <w:rPr>
          <w:rFonts w:eastAsia="Arial" w:cs="Arial"/>
          <w:color w:val="000000"/>
        </w:rPr>
        <w:t xml:space="preserve"> qualification and </w:t>
      </w:r>
      <w:r w:rsidRPr="00223436">
        <w:rPr>
          <w:rFonts w:eastAsia="Arial" w:cs="Arial"/>
          <w:color w:val="000000"/>
          <w:u w:val="single" w:color="000000"/>
        </w:rPr>
        <w:t>CPR</w:t>
      </w:r>
      <w:r w:rsidRPr="00223436">
        <w:rPr>
          <w:rFonts w:eastAsia="Arial" w:cs="Arial"/>
          <w:color w:val="000000"/>
        </w:rPr>
        <w:t xml:space="preserve"> certificate; </w:t>
      </w:r>
      <w:r w:rsidRPr="00223436">
        <w:rPr>
          <w:rFonts w:eastAsia="Arial" w:cs="Arial"/>
          <w:i/>
          <w:color w:val="000000"/>
        </w:rPr>
        <w:t>plus</w:t>
      </w:r>
      <w:r w:rsidRPr="00223436">
        <w:rPr>
          <w:rFonts w:eastAsia="Arial" w:cs="Arial"/>
          <w:color w:val="000000"/>
        </w:rPr>
        <w:t xml:space="preserve"> coaching accreditation. </w:t>
      </w:r>
    </w:p>
    <w:p w:rsidR="00EF1C54" w:rsidRPr="00223436" w:rsidRDefault="00EF1C54" w:rsidP="002A048C">
      <w:pPr>
        <w:numPr>
          <w:ilvl w:val="0"/>
          <w:numId w:val="37"/>
        </w:numPr>
        <w:spacing w:after="19" w:line="260" w:lineRule="auto"/>
        <w:ind w:right="46" w:hanging="720"/>
        <w:rPr>
          <w:rFonts w:eastAsia="Arial" w:cs="Arial"/>
          <w:color w:val="000000"/>
        </w:rPr>
      </w:pPr>
      <w:r w:rsidRPr="00223436">
        <w:rPr>
          <w:rFonts w:eastAsia="Arial" w:cs="Arial"/>
          <w:color w:val="000000"/>
        </w:rPr>
        <w:t>A range of career pathway options including direct pathway into Certificate IV in Fitness (Personal Trainer)</w:t>
      </w:r>
      <w:r w:rsidRPr="00223436">
        <w:rPr>
          <w:rFonts w:eastAsia="Arial" w:cs="Arial"/>
          <w:b/>
          <w:color w:val="000000"/>
        </w:rPr>
        <w:t xml:space="preserve"> </w:t>
      </w:r>
    </w:p>
    <w:p w:rsidR="00EF1C54" w:rsidRPr="00223436" w:rsidRDefault="00EF1C54" w:rsidP="00EF1C54">
      <w:pPr>
        <w:spacing w:after="2"/>
        <w:rPr>
          <w:rFonts w:eastAsia="Arial" w:cs="Arial"/>
          <w:color w:val="000000"/>
        </w:rPr>
      </w:pPr>
      <w:r w:rsidRPr="00223436">
        <w:rPr>
          <w:rFonts w:eastAsia="Arial" w:cs="Arial"/>
          <w:color w:val="000000"/>
        </w:rPr>
        <w:t xml:space="preserve"> </w:t>
      </w:r>
    </w:p>
    <w:p w:rsidR="00EF1C54" w:rsidRPr="00223436" w:rsidRDefault="00EF1C54" w:rsidP="00EF1C54">
      <w:pPr>
        <w:spacing w:after="4" w:line="267" w:lineRule="auto"/>
        <w:ind w:left="-5" w:right="42" w:hanging="10"/>
        <w:jc w:val="both"/>
        <w:rPr>
          <w:rFonts w:eastAsia="Arial" w:cs="Arial"/>
          <w:color w:val="000000"/>
        </w:rPr>
      </w:pPr>
      <w:r w:rsidRPr="00223436">
        <w:rPr>
          <w:rFonts w:eastAsia="Arial" w:cs="Arial"/>
          <w:b/>
          <w:color w:val="000000"/>
        </w:rPr>
        <w:t xml:space="preserve">ENTRY REQUIREMENTS: </w:t>
      </w:r>
      <w:r w:rsidRPr="00223436">
        <w:rPr>
          <w:rFonts w:eastAsia="Arial" w:cs="Arial"/>
          <w:color w:val="000000"/>
        </w:rPr>
        <w:t xml:space="preserve">   Students must have a passion for and/or interest in pursuing a career in the fitness and sport industries. They must have good quality written and spoken communication skills and an enthusiasm / motivation to participate in physical activity sessions. </w:t>
      </w:r>
    </w:p>
    <w:p w:rsidR="00EF1C54" w:rsidRPr="00223436" w:rsidRDefault="00EF1C54" w:rsidP="00EF1C54">
      <w:pPr>
        <w:spacing w:after="4"/>
        <w:rPr>
          <w:rFonts w:eastAsia="Arial" w:cs="Arial"/>
          <w:color w:val="000000"/>
        </w:rPr>
      </w:pPr>
      <w:r w:rsidRPr="00223436">
        <w:rPr>
          <w:rFonts w:eastAsia="Arial" w:cs="Arial"/>
          <w:color w:val="000000"/>
        </w:rPr>
        <w:t xml:space="preserve"> </w:t>
      </w:r>
    </w:p>
    <w:p w:rsidR="00EF1C54" w:rsidRPr="00223436" w:rsidRDefault="00EF1C54" w:rsidP="00EF1C54">
      <w:pPr>
        <w:spacing w:after="4" w:line="267" w:lineRule="auto"/>
        <w:ind w:left="-5" w:right="42" w:hanging="10"/>
        <w:jc w:val="both"/>
        <w:rPr>
          <w:rFonts w:eastAsia="Arial" w:cs="Arial"/>
          <w:color w:val="000000"/>
        </w:rPr>
      </w:pPr>
      <w:r w:rsidRPr="00223436">
        <w:rPr>
          <w:rFonts w:eastAsia="Arial" w:cs="Arial"/>
          <w:color w:val="000000"/>
        </w:rPr>
        <w:t xml:space="preserve">Each student must obtain a (free) ‘Working with Children’ Student Blue Card (application to be completed as part of the enrolment process).  A student’s official enrolment is unable to be finalised until their Student Blue Card has been issued. </w:t>
      </w:r>
    </w:p>
    <w:p w:rsidR="00EF1C54" w:rsidRPr="00223436" w:rsidRDefault="00EF1C54" w:rsidP="00EF1C54">
      <w:pPr>
        <w:spacing w:after="2"/>
        <w:ind w:left="-5" w:hanging="10"/>
        <w:rPr>
          <w:rFonts w:eastAsia="Arial" w:cs="Arial"/>
          <w:b/>
          <w:color w:val="000000"/>
        </w:rPr>
      </w:pPr>
    </w:p>
    <w:p w:rsidR="00EF1C54" w:rsidRPr="00223436" w:rsidRDefault="00EF1C54" w:rsidP="00EF1C54">
      <w:pPr>
        <w:spacing w:after="2"/>
        <w:ind w:left="-5" w:hanging="10"/>
        <w:rPr>
          <w:rFonts w:eastAsia="Arial" w:cs="Arial"/>
          <w:b/>
          <w:color w:val="000000"/>
        </w:rPr>
      </w:pPr>
    </w:p>
    <w:p w:rsidR="00EF1C54" w:rsidRPr="00223436" w:rsidRDefault="00EF1C54" w:rsidP="00EF1C54">
      <w:pPr>
        <w:spacing w:after="2"/>
        <w:ind w:left="-5" w:hanging="10"/>
        <w:rPr>
          <w:rFonts w:eastAsia="Arial" w:cs="Arial"/>
          <w:b/>
          <w:color w:val="000000"/>
        </w:rPr>
      </w:pPr>
    </w:p>
    <w:p w:rsidR="00EF1C54" w:rsidRDefault="00EF1C54" w:rsidP="00EF1C54">
      <w:pPr>
        <w:spacing w:after="2"/>
        <w:ind w:left="-5" w:hanging="10"/>
        <w:rPr>
          <w:rFonts w:eastAsia="Arial" w:cs="Arial"/>
          <w:b/>
          <w:color w:val="000000"/>
        </w:rPr>
      </w:pPr>
    </w:p>
    <w:p w:rsidR="005B6F69" w:rsidRDefault="005B6F69" w:rsidP="00EF1C54">
      <w:pPr>
        <w:spacing w:after="2"/>
        <w:ind w:left="-5" w:hanging="10"/>
        <w:rPr>
          <w:rFonts w:eastAsia="Arial" w:cs="Arial"/>
          <w:b/>
          <w:color w:val="000000"/>
        </w:rPr>
      </w:pPr>
    </w:p>
    <w:p w:rsidR="005B6F69" w:rsidRDefault="005B6F69" w:rsidP="00EF1C54">
      <w:pPr>
        <w:spacing w:after="2"/>
        <w:ind w:left="-5" w:hanging="10"/>
        <w:rPr>
          <w:rFonts w:eastAsia="Arial" w:cs="Arial"/>
          <w:b/>
          <w:color w:val="000000"/>
        </w:rPr>
      </w:pPr>
    </w:p>
    <w:p w:rsidR="005B6F69" w:rsidRDefault="005B6F69" w:rsidP="00EF1C54">
      <w:pPr>
        <w:spacing w:after="2"/>
        <w:ind w:left="-5" w:hanging="10"/>
        <w:rPr>
          <w:rFonts w:eastAsia="Arial" w:cs="Arial"/>
          <w:b/>
          <w:color w:val="000000"/>
        </w:rPr>
      </w:pPr>
    </w:p>
    <w:p w:rsidR="005B6F69" w:rsidRDefault="005B6F69" w:rsidP="00EF1C54">
      <w:pPr>
        <w:spacing w:after="2"/>
        <w:ind w:left="-5" w:hanging="10"/>
        <w:rPr>
          <w:rFonts w:eastAsia="Arial" w:cs="Arial"/>
          <w:b/>
          <w:color w:val="000000"/>
        </w:rPr>
      </w:pPr>
    </w:p>
    <w:p w:rsidR="005B6F69" w:rsidRPr="00223436" w:rsidRDefault="005B6F69" w:rsidP="00EF1C54">
      <w:pPr>
        <w:spacing w:after="2"/>
        <w:ind w:left="-5" w:hanging="10"/>
        <w:rPr>
          <w:rFonts w:eastAsia="Arial" w:cs="Arial"/>
          <w:b/>
          <w:color w:val="000000"/>
        </w:rPr>
      </w:pPr>
    </w:p>
    <w:p w:rsidR="00EF1C54" w:rsidRPr="00223436" w:rsidRDefault="00EF1C54" w:rsidP="00EF1C54">
      <w:pPr>
        <w:spacing w:after="2"/>
        <w:ind w:left="-5" w:hanging="10"/>
        <w:rPr>
          <w:rFonts w:eastAsia="Arial" w:cs="Arial"/>
          <w:b/>
          <w:color w:val="000000"/>
        </w:rPr>
      </w:pPr>
    </w:p>
    <w:p w:rsidR="00EF1C54" w:rsidRPr="00223436" w:rsidRDefault="00EF1C54" w:rsidP="00EF1C54">
      <w:pPr>
        <w:spacing w:after="2"/>
        <w:ind w:left="-5" w:hanging="10"/>
        <w:rPr>
          <w:rFonts w:eastAsia="Arial" w:cs="Arial"/>
          <w:b/>
          <w:color w:val="000000"/>
        </w:rPr>
      </w:pPr>
    </w:p>
    <w:p w:rsidR="00EF1C54" w:rsidRPr="00223436" w:rsidRDefault="00EF1C54" w:rsidP="00EF1C54">
      <w:pPr>
        <w:spacing w:after="2"/>
        <w:ind w:left="-5" w:hanging="10"/>
        <w:rPr>
          <w:rFonts w:eastAsia="Arial" w:cs="Arial"/>
          <w:color w:val="000000"/>
        </w:rPr>
      </w:pPr>
      <w:r w:rsidRPr="00223436">
        <w:rPr>
          <w:rFonts w:eastAsia="Arial" w:cs="Arial"/>
          <w:b/>
          <w:color w:val="000000"/>
        </w:rPr>
        <w:t xml:space="preserve">TOPICS OF STUDY </w:t>
      </w:r>
    </w:p>
    <w:p w:rsidR="00EF1C54" w:rsidRPr="00223436" w:rsidRDefault="00EF1C54" w:rsidP="00EF1C54">
      <w:pPr>
        <w:spacing w:after="4"/>
        <w:rPr>
          <w:rFonts w:eastAsia="Arial" w:cs="Arial"/>
          <w:color w:val="000000"/>
        </w:rPr>
      </w:pPr>
      <w:r w:rsidRPr="00223436">
        <w:rPr>
          <w:rFonts w:eastAsia="Arial" w:cs="Arial"/>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18"/>
        <w:gridCol w:w="2386"/>
        <w:gridCol w:w="2257"/>
      </w:tblGrid>
      <w:tr w:rsidR="00EF1C54" w:rsidRPr="00223436" w:rsidTr="00823D4D">
        <w:trPr>
          <w:trHeight w:val="340"/>
        </w:trPr>
        <w:tc>
          <w:tcPr>
            <w:tcW w:w="3101" w:type="dxa"/>
            <w:tcBorders>
              <w:top w:val="single" w:sz="4" w:space="0" w:color="auto"/>
              <w:left w:val="single" w:sz="4" w:space="0" w:color="auto"/>
              <w:bottom w:val="single" w:sz="4" w:space="0" w:color="auto"/>
              <w:right w:val="single" w:sz="4" w:space="0" w:color="auto"/>
            </w:tcBorders>
            <w:shd w:val="clear" w:color="auto" w:fill="DFF1F9"/>
            <w:vAlign w:val="center"/>
          </w:tcPr>
          <w:p w:rsidR="00EF1C54" w:rsidRPr="00223436" w:rsidRDefault="00EF1C54" w:rsidP="00823D4D">
            <w:pPr>
              <w:spacing w:line="240" w:lineRule="auto"/>
              <w:jc w:val="center"/>
              <w:rPr>
                <w:rFonts w:ascii="Calibri" w:hAnsi="Calibri" w:cs="Calibri"/>
                <w:b/>
                <w:sz w:val="20"/>
                <w:szCs w:val="24"/>
                <w:lang w:val="en-US" w:eastAsia="en-US"/>
              </w:rPr>
            </w:pPr>
            <w:r w:rsidRPr="00223436">
              <w:rPr>
                <w:rFonts w:ascii="Calibri" w:hAnsi="Calibri" w:cs="Calibri"/>
                <w:b/>
                <w:sz w:val="20"/>
                <w:szCs w:val="24"/>
                <w:lang w:val="en-US" w:eastAsia="en-US"/>
              </w:rPr>
              <w:t>TERM 1</w:t>
            </w:r>
          </w:p>
        </w:tc>
        <w:tc>
          <w:tcPr>
            <w:tcW w:w="3099" w:type="dxa"/>
            <w:tcBorders>
              <w:top w:val="single" w:sz="4" w:space="0" w:color="auto"/>
              <w:left w:val="single" w:sz="4" w:space="0" w:color="auto"/>
              <w:bottom w:val="single" w:sz="4" w:space="0" w:color="auto"/>
              <w:right w:val="single" w:sz="4" w:space="0" w:color="auto"/>
            </w:tcBorders>
            <w:shd w:val="clear" w:color="auto" w:fill="DFF1F9"/>
            <w:vAlign w:val="center"/>
          </w:tcPr>
          <w:p w:rsidR="00EF1C54" w:rsidRPr="00223436" w:rsidRDefault="00EF1C54" w:rsidP="00823D4D">
            <w:pPr>
              <w:spacing w:line="240" w:lineRule="auto"/>
              <w:jc w:val="center"/>
              <w:rPr>
                <w:rFonts w:ascii="Calibri" w:hAnsi="Calibri" w:cs="Calibri"/>
                <w:b/>
                <w:sz w:val="20"/>
                <w:szCs w:val="24"/>
                <w:lang w:val="en-US" w:eastAsia="en-US"/>
              </w:rPr>
            </w:pPr>
            <w:r w:rsidRPr="00223436">
              <w:rPr>
                <w:rFonts w:ascii="Calibri" w:hAnsi="Calibri" w:cs="Calibri"/>
                <w:b/>
                <w:sz w:val="20"/>
                <w:szCs w:val="24"/>
                <w:lang w:val="en-US" w:eastAsia="en-US"/>
              </w:rPr>
              <w:t>TERM 2</w:t>
            </w:r>
          </w:p>
        </w:tc>
        <w:tc>
          <w:tcPr>
            <w:tcW w:w="3101" w:type="dxa"/>
            <w:tcBorders>
              <w:top w:val="single" w:sz="4" w:space="0" w:color="auto"/>
              <w:left w:val="single" w:sz="4" w:space="0" w:color="auto"/>
              <w:bottom w:val="single" w:sz="4" w:space="0" w:color="auto"/>
              <w:right w:val="single" w:sz="4" w:space="0" w:color="auto"/>
            </w:tcBorders>
            <w:shd w:val="clear" w:color="auto" w:fill="DFF1F9"/>
            <w:vAlign w:val="center"/>
          </w:tcPr>
          <w:p w:rsidR="00EF1C54" w:rsidRPr="00223436" w:rsidRDefault="00EF1C54" w:rsidP="00823D4D">
            <w:pPr>
              <w:spacing w:line="240" w:lineRule="auto"/>
              <w:jc w:val="center"/>
              <w:rPr>
                <w:rFonts w:ascii="Calibri" w:hAnsi="Calibri" w:cs="Calibri"/>
                <w:b/>
                <w:sz w:val="20"/>
                <w:szCs w:val="24"/>
                <w:lang w:val="en-US" w:eastAsia="en-US"/>
              </w:rPr>
            </w:pPr>
            <w:r w:rsidRPr="00223436">
              <w:rPr>
                <w:rFonts w:ascii="Calibri" w:hAnsi="Calibri" w:cs="Calibri"/>
                <w:b/>
                <w:sz w:val="20"/>
                <w:szCs w:val="24"/>
                <w:lang w:val="en-US" w:eastAsia="en-US"/>
              </w:rPr>
              <w:t>TERM 3</w:t>
            </w:r>
          </w:p>
        </w:tc>
        <w:tc>
          <w:tcPr>
            <w:tcW w:w="3100" w:type="dxa"/>
            <w:tcBorders>
              <w:top w:val="single" w:sz="4" w:space="0" w:color="auto"/>
              <w:left w:val="single" w:sz="4" w:space="0" w:color="auto"/>
              <w:bottom w:val="single" w:sz="4" w:space="0" w:color="auto"/>
              <w:right w:val="single" w:sz="4" w:space="0" w:color="auto"/>
            </w:tcBorders>
            <w:shd w:val="clear" w:color="auto" w:fill="DFF1F9"/>
            <w:vAlign w:val="center"/>
          </w:tcPr>
          <w:p w:rsidR="00EF1C54" w:rsidRPr="00223436" w:rsidRDefault="00EF1C54" w:rsidP="00823D4D">
            <w:pPr>
              <w:spacing w:line="240" w:lineRule="auto"/>
              <w:jc w:val="center"/>
              <w:rPr>
                <w:rFonts w:ascii="Calibri" w:hAnsi="Calibri" w:cs="Calibri"/>
                <w:b/>
                <w:sz w:val="20"/>
                <w:szCs w:val="24"/>
                <w:lang w:val="en-US" w:eastAsia="en-US"/>
              </w:rPr>
            </w:pPr>
            <w:r w:rsidRPr="00223436">
              <w:rPr>
                <w:rFonts w:ascii="Calibri" w:hAnsi="Calibri" w:cs="Calibri"/>
                <w:b/>
                <w:sz w:val="20"/>
                <w:szCs w:val="24"/>
                <w:lang w:val="en-US" w:eastAsia="en-US"/>
              </w:rPr>
              <w:t>TERM 4</w:t>
            </w:r>
          </w:p>
        </w:tc>
      </w:tr>
      <w:tr w:rsidR="00EF1C54" w:rsidRPr="00223436" w:rsidTr="00823D4D">
        <w:tc>
          <w:tcPr>
            <w:tcW w:w="3101" w:type="dxa"/>
            <w:tcBorders>
              <w:top w:val="single" w:sz="4" w:space="0" w:color="auto"/>
            </w:tcBorders>
            <w:shd w:val="clear" w:color="auto" w:fill="auto"/>
          </w:tcPr>
          <w:p w:rsidR="00EF1C54" w:rsidRPr="008255B5" w:rsidRDefault="00EF1C54" w:rsidP="00EF1C54">
            <w:pPr>
              <w:numPr>
                <w:ilvl w:val="0"/>
                <w:numId w:val="39"/>
              </w:numPr>
              <w:spacing w:line="240" w:lineRule="auto"/>
              <w:ind w:left="357" w:hanging="357"/>
              <w:rPr>
                <w:rFonts w:ascii="Calibri" w:hAnsi="Calibri" w:cs="Calibri"/>
                <w:sz w:val="20"/>
                <w:szCs w:val="20"/>
                <w:lang w:val="en-US" w:eastAsia="en-US"/>
              </w:rPr>
            </w:pPr>
            <w:r w:rsidRPr="008255B5">
              <w:rPr>
                <w:rFonts w:ascii="Calibri" w:hAnsi="Calibri" w:cs="Calibri"/>
                <w:sz w:val="20"/>
                <w:szCs w:val="20"/>
                <w:lang w:val="en-US" w:eastAsia="en-US"/>
              </w:rPr>
              <w:t>The Sport, Fitness and Recreation Industry</w:t>
            </w:r>
          </w:p>
          <w:p w:rsidR="00EF1C54" w:rsidRPr="008255B5" w:rsidRDefault="00EF1C54" w:rsidP="00EF1C54">
            <w:pPr>
              <w:numPr>
                <w:ilvl w:val="0"/>
                <w:numId w:val="39"/>
              </w:numPr>
              <w:spacing w:line="240" w:lineRule="auto"/>
              <w:rPr>
                <w:rFonts w:ascii="Calibri" w:hAnsi="Calibri" w:cs="Calibri"/>
                <w:sz w:val="20"/>
                <w:szCs w:val="20"/>
                <w:lang w:val="en-US" w:eastAsia="en-US"/>
              </w:rPr>
            </w:pPr>
            <w:r w:rsidRPr="008255B5">
              <w:rPr>
                <w:rFonts w:ascii="Calibri" w:hAnsi="Calibri" w:cs="Calibri"/>
                <w:sz w:val="20"/>
                <w:szCs w:val="20"/>
                <w:lang w:val="en-US" w:eastAsia="en-US"/>
              </w:rPr>
              <w:t>Introduction to Anatomy and Physiology</w:t>
            </w:r>
          </w:p>
          <w:p w:rsidR="00EF1C54" w:rsidRPr="008255B5" w:rsidRDefault="00EF1C54" w:rsidP="00EF1C54">
            <w:pPr>
              <w:numPr>
                <w:ilvl w:val="0"/>
                <w:numId w:val="39"/>
              </w:numPr>
              <w:spacing w:line="240" w:lineRule="auto"/>
              <w:rPr>
                <w:rFonts w:ascii="Calibri" w:hAnsi="Calibri" w:cs="Calibri"/>
                <w:sz w:val="20"/>
                <w:szCs w:val="20"/>
                <w:lang w:val="en-US" w:eastAsia="en-US"/>
              </w:rPr>
            </w:pPr>
            <w:r w:rsidRPr="008255B5">
              <w:rPr>
                <w:rFonts w:ascii="Calibri" w:hAnsi="Calibri" w:cs="Calibri"/>
                <w:sz w:val="20"/>
                <w:szCs w:val="20"/>
                <w:lang w:val="en-US" w:eastAsia="en-US"/>
              </w:rPr>
              <w:t>Developing Coaching Practices</w:t>
            </w:r>
          </w:p>
        </w:tc>
        <w:tc>
          <w:tcPr>
            <w:tcW w:w="3099" w:type="dxa"/>
            <w:tcBorders>
              <w:top w:val="single" w:sz="4" w:space="0" w:color="auto"/>
            </w:tcBorders>
            <w:shd w:val="clear" w:color="auto" w:fill="auto"/>
          </w:tcPr>
          <w:p w:rsidR="00EF1C54" w:rsidRPr="008255B5" w:rsidRDefault="00EF1C54" w:rsidP="00EF1C54">
            <w:pPr>
              <w:numPr>
                <w:ilvl w:val="0"/>
                <w:numId w:val="39"/>
              </w:numPr>
              <w:spacing w:line="240" w:lineRule="auto"/>
              <w:rPr>
                <w:rFonts w:ascii="Calibri" w:hAnsi="Calibri" w:cs="Calibri"/>
                <w:sz w:val="20"/>
                <w:szCs w:val="24"/>
                <w:lang w:val="en-US" w:eastAsia="en-US"/>
              </w:rPr>
            </w:pPr>
            <w:r w:rsidRPr="008255B5">
              <w:rPr>
                <w:rFonts w:ascii="Calibri" w:hAnsi="Calibri" w:cs="Calibri"/>
                <w:sz w:val="20"/>
                <w:szCs w:val="24"/>
                <w:lang w:val="en-US" w:eastAsia="en-US"/>
              </w:rPr>
              <w:t>Conducting Health Assessments</w:t>
            </w:r>
          </w:p>
          <w:p w:rsidR="00EF1C54" w:rsidRPr="008255B5" w:rsidRDefault="00EF1C54" w:rsidP="00EF1C54">
            <w:pPr>
              <w:numPr>
                <w:ilvl w:val="0"/>
                <w:numId w:val="39"/>
              </w:numPr>
              <w:spacing w:line="240" w:lineRule="auto"/>
              <w:rPr>
                <w:rFonts w:ascii="Calibri" w:hAnsi="Calibri" w:cs="Calibri"/>
                <w:sz w:val="20"/>
                <w:szCs w:val="24"/>
                <w:lang w:val="en-US" w:eastAsia="en-US"/>
              </w:rPr>
            </w:pPr>
            <w:r w:rsidRPr="008255B5">
              <w:rPr>
                <w:rFonts w:ascii="Calibri" w:hAnsi="Calibri" w:cs="Calibri"/>
                <w:sz w:val="20"/>
                <w:szCs w:val="24"/>
                <w:lang w:val="en-US" w:eastAsia="en-US"/>
              </w:rPr>
              <w:t>Work Health and Safety in Sport &amp; Fitness</w:t>
            </w:r>
          </w:p>
          <w:p w:rsidR="00EF1C54" w:rsidRPr="008255B5" w:rsidRDefault="00EF1C54" w:rsidP="00EF1C54">
            <w:pPr>
              <w:numPr>
                <w:ilvl w:val="0"/>
                <w:numId w:val="39"/>
              </w:numPr>
              <w:spacing w:line="240" w:lineRule="auto"/>
              <w:ind w:left="357" w:hanging="357"/>
              <w:rPr>
                <w:rFonts w:ascii="Calibri" w:hAnsi="Calibri" w:cs="Calibri"/>
                <w:b/>
                <w:sz w:val="20"/>
                <w:szCs w:val="24"/>
                <w:lang w:val="en-US" w:eastAsia="en-US"/>
              </w:rPr>
            </w:pPr>
            <w:r w:rsidRPr="008255B5">
              <w:rPr>
                <w:rFonts w:ascii="Calibri" w:hAnsi="Calibri" w:cs="Calibri"/>
                <w:sz w:val="20"/>
                <w:szCs w:val="20"/>
                <w:lang w:val="en-US" w:eastAsia="en-US"/>
              </w:rPr>
              <w:t>Delivering Community Fitness Programs</w:t>
            </w:r>
          </w:p>
          <w:p w:rsidR="00EF1C54" w:rsidRPr="008255B5" w:rsidRDefault="00EF1C54" w:rsidP="00EF1C54">
            <w:pPr>
              <w:numPr>
                <w:ilvl w:val="0"/>
                <w:numId w:val="39"/>
              </w:numPr>
              <w:spacing w:line="240" w:lineRule="auto"/>
              <w:rPr>
                <w:rFonts w:ascii="Calibri" w:hAnsi="Calibri" w:cs="Calibri"/>
                <w:sz w:val="20"/>
                <w:szCs w:val="24"/>
                <w:lang w:val="en-US" w:eastAsia="en-US"/>
              </w:rPr>
            </w:pPr>
            <w:r w:rsidRPr="008255B5">
              <w:rPr>
                <w:rFonts w:ascii="Calibri" w:hAnsi="Calibri" w:cs="Calibri"/>
                <w:sz w:val="20"/>
                <w:szCs w:val="24"/>
                <w:lang w:val="en-US" w:eastAsia="en-US"/>
              </w:rPr>
              <w:t>First Aid and CPR certificate</w:t>
            </w:r>
          </w:p>
        </w:tc>
        <w:tc>
          <w:tcPr>
            <w:tcW w:w="3101" w:type="dxa"/>
            <w:tcBorders>
              <w:top w:val="single" w:sz="4" w:space="0" w:color="auto"/>
            </w:tcBorders>
            <w:shd w:val="clear" w:color="auto" w:fill="auto"/>
          </w:tcPr>
          <w:p w:rsidR="00EF1C54" w:rsidRPr="008255B5" w:rsidRDefault="00EF1C54" w:rsidP="00EF1C54">
            <w:pPr>
              <w:numPr>
                <w:ilvl w:val="0"/>
                <w:numId w:val="39"/>
              </w:numPr>
              <w:spacing w:line="240" w:lineRule="auto"/>
              <w:rPr>
                <w:rFonts w:ascii="Calibri" w:hAnsi="Calibri" w:cs="Calibri"/>
                <w:sz w:val="20"/>
                <w:szCs w:val="20"/>
                <w:lang w:val="en-US" w:eastAsia="en-US"/>
              </w:rPr>
            </w:pPr>
            <w:r w:rsidRPr="008255B5">
              <w:rPr>
                <w:rFonts w:ascii="Calibri" w:hAnsi="Calibri" w:cs="Calibri"/>
                <w:sz w:val="20"/>
                <w:szCs w:val="20"/>
                <w:lang w:val="en-US" w:eastAsia="en-US"/>
              </w:rPr>
              <w:t>Customer Service in the Fitness Industry</w:t>
            </w:r>
          </w:p>
          <w:p w:rsidR="00EF1C54" w:rsidRPr="008255B5" w:rsidRDefault="00EF1C54" w:rsidP="00EF1C54">
            <w:pPr>
              <w:numPr>
                <w:ilvl w:val="0"/>
                <w:numId w:val="39"/>
              </w:numPr>
              <w:spacing w:line="240" w:lineRule="auto"/>
              <w:rPr>
                <w:rFonts w:ascii="Calibri" w:hAnsi="Calibri" w:cs="Calibri"/>
                <w:sz w:val="20"/>
                <w:szCs w:val="20"/>
                <w:lang w:val="en-US" w:eastAsia="en-US"/>
              </w:rPr>
            </w:pPr>
            <w:r w:rsidRPr="008255B5">
              <w:rPr>
                <w:rFonts w:ascii="Calibri" w:hAnsi="Calibri" w:cs="Calibri"/>
                <w:sz w:val="20"/>
                <w:szCs w:val="20"/>
                <w:lang w:val="en-US" w:eastAsia="en-US"/>
              </w:rPr>
              <w:t>Conducting Group Fitness Sessions</w:t>
            </w:r>
          </w:p>
          <w:p w:rsidR="00EF1C54" w:rsidRPr="008255B5" w:rsidRDefault="00EF1C54" w:rsidP="00EF1C54">
            <w:pPr>
              <w:numPr>
                <w:ilvl w:val="0"/>
                <w:numId w:val="39"/>
              </w:numPr>
              <w:spacing w:line="240" w:lineRule="auto"/>
              <w:rPr>
                <w:rFonts w:ascii="Calibri" w:hAnsi="Calibri" w:cs="Calibri"/>
                <w:sz w:val="20"/>
                <w:szCs w:val="20"/>
                <w:lang w:val="en-US" w:eastAsia="en-US"/>
              </w:rPr>
            </w:pPr>
            <w:r w:rsidRPr="008255B5">
              <w:rPr>
                <w:rFonts w:ascii="Calibri" w:hAnsi="Calibri" w:cs="Calibri"/>
                <w:sz w:val="20"/>
                <w:szCs w:val="20"/>
                <w:lang w:val="en-US" w:eastAsia="en-US"/>
              </w:rPr>
              <w:t>Anatomy and Physiology – Musculoskeletal and Cardiovascular Systems</w:t>
            </w:r>
          </w:p>
        </w:tc>
        <w:tc>
          <w:tcPr>
            <w:tcW w:w="3100" w:type="dxa"/>
            <w:tcBorders>
              <w:top w:val="single" w:sz="4" w:space="0" w:color="auto"/>
            </w:tcBorders>
            <w:shd w:val="clear" w:color="auto" w:fill="auto"/>
          </w:tcPr>
          <w:p w:rsidR="00EF1C54" w:rsidRPr="008255B5" w:rsidRDefault="00EF1C54" w:rsidP="00EF1C54">
            <w:pPr>
              <w:numPr>
                <w:ilvl w:val="0"/>
                <w:numId w:val="39"/>
              </w:numPr>
              <w:spacing w:line="240" w:lineRule="auto"/>
              <w:rPr>
                <w:rFonts w:ascii="Calibri" w:hAnsi="Calibri" w:cs="Calibri"/>
                <w:sz w:val="20"/>
                <w:szCs w:val="20"/>
                <w:lang w:val="en-US" w:eastAsia="en-US"/>
              </w:rPr>
            </w:pPr>
            <w:r w:rsidRPr="008255B5">
              <w:rPr>
                <w:rFonts w:ascii="Calibri" w:hAnsi="Calibri" w:cs="Calibri"/>
                <w:sz w:val="20"/>
                <w:szCs w:val="20"/>
                <w:lang w:val="en-US" w:eastAsia="en-US"/>
              </w:rPr>
              <w:t>Learning Gym Exercises</w:t>
            </w:r>
          </w:p>
          <w:p w:rsidR="00EF1C54" w:rsidRPr="008255B5" w:rsidRDefault="00EF1C54" w:rsidP="00EF1C54">
            <w:pPr>
              <w:numPr>
                <w:ilvl w:val="0"/>
                <w:numId w:val="39"/>
              </w:numPr>
              <w:spacing w:line="240" w:lineRule="auto"/>
              <w:rPr>
                <w:rFonts w:ascii="Calibri" w:hAnsi="Calibri" w:cs="Calibri"/>
                <w:sz w:val="20"/>
                <w:szCs w:val="20"/>
                <w:lang w:val="en-US" w:eastAsia="en-US"/>
              </w:rPr>
            </w:pPr>
            <w:r w:rsidRPr="008255B5">
              <w:rPr>
                <w:rFonts w:ascii="Calibri" w:hAnsi="Calibri" w:cs="Calibri"/>
                <w:sz w:val="20"/>
                <w:szCs w:val="20"/>
                <w:lang w:val="en-US" w:eastAsia="en-US"/>
              </w:rPr>
              <w:t>Fitness Programming and Instruction</w:t>
            </w:r>
          </w:p>
          <w:p w:rsidR="00EF1C54" w:rsidRPr="008255B5" w:rsidRDefault="00EF1C54" w:rsidP="00EF1C54">
            <w:pPr>
              <w:numPr>
                <w:ilvl w:val="0"/>
                <w:numId w:val="39"/>
              </w:numPr>
              <w:spacing w:line="240" w:lineRule="auto"/>
              <w:rPr>
                <w:rFonts w:ascii="Calibri" w:hAnsi="Calibri" w:cs="Calibri"/>
                <w:b/>
                <w:sz w:val="20"/>
                <w:szCs w:val="24"/>
                <w:lang w:val="en-US" w:eastAsia="en-US"/>
              </w:rPr>
            </w:pPr>
            <w:r w:rsidRPr="008255B5">
              <w:rPr>
                <w:rFonts w:ascii="Calibri" w:hAnsi="Calibri" w:cs="Calibri"/>
                <w:sz w:val="20"/>
                <w:szCs w:val="20"/>
                <w:lang w:val="en-US" w:eastAsia="en-US"/>
              </w:rPr>
              <w:t>Work Effectively in the Sport, Fitness and Recreation Industry</w:t>
            </w:r>
          </w:p>
        </w:tc>
      </w:tr>
      <w:tr w:rsidR="00EF1C54" w:rsidRPr="00223436" w:rsidTr="00823D4D">
        <w:trPr>
          <w:trHeight w:val="340"/>
        </w:trPr>
        <w:tc>
          <w:tcPr>
            <w:tcW w:w="3101" w:type="dxa"/>
            <w:shd w:val="clear" w:color="auto" w:fill="DFF1F9"/>
            <w:vAlign w:val="center"/>
          </w:tcPr>
          <w:p w:rsidR="00EF1C54" w:rsidRPr="008255B5" w:rsidRDefault="00EF1C54" w:rsidP="00823D4D">
            <w:pPr>
              <w:spacing w:line="240" w:lineRule="auto"/>
              <w:jc w:val="center"/>
              <w:rPr>
                <w:rFonts w:ascii="Calibri" w:hAnsi="Calibri" w:cs="Calibri"/>
                <w:b/>
                <w:sz w:val="20"/>
                <w:szCs w:val="24"/>
                <w:lang w:val="en-US" w:eastAsia="en-US"/>
              </w:rPr>
            </w:pPr>
            <w:r w:rsidRPr="008255B5">
              <w:rPr>
                <w:rFonts w:ascii="Calibri" w:hAnsi="Calibri" w:cs="Calibri"/>
                <w:b/>
                <w:sz w:val="20"/>
                <w:szCs w:val="24"/>
                <w:lang w:val="en-US" w:eastAsia="en-US"/>
              </w:rPr>
              <w:t>TERM 5</w:t>
            </w:r>
          </w:p>
        </w:tc>
        <w:tc>
          <w:tcPr>
            <w:tcW w:w="3099" w:type="dxa"/>
            <w:shd w:val="clear" w:color="auto" w:fill="DFF1F9"/>
            <w:vAlign w:val="center"/>
          </w:tcPr>
          <w:p w:rsidR="00EF1C54" w:rsidRPr="008255B5" w:rsidRDefault="00EF1C54" w:rsidP="00823D4D">
            <w:pPr>
              <w:spacing w:line="240" w:lineRule="auto"/>
              <w:jc w:val="center"/>
              <w:rPr>
                <w:rFonts w:ascii="Calibri" w:hAnsi="Calibri" w:cs="Calibri"/>
                <w:b/>
                <w:sz w:val="20"/>
                <w:szCs w:val="24"/>
                <w:lang w:val="en-US" w:eastAsia="en-US"/>
              </w:rPr>
            </w:pPr>
            <w:r w:rsidRPr="008255B5">
              <w:rPr>
                <w:rFonts w:ascii="Calibri" w:hAnsi="Calibri" w:cs="Calibri"/>
                <w:b/>
                <w:sz w:val="20"/>
                <w:szCs w:val="24"/>
                <w:lang w:val="en-US" w:eastAsia="en-US"/>
              </w:rPr>
              <w:t>TERM 6</w:t>
            </w:r>
          </w:p>
        </w:tc>
        <w:tc>
          <w:tcPr>
            <w:tcW w:w="3101" w:type="dxa"/>
            <w:shd w:val="clear" w:color="auto" w:fill="DFF1F9"/>
            <w:vAlign w:val="center"/>
          </w:tcPr>
          <w:p w:rsidR="00EF1C54" w:rsidRPr="008255B5" w:rsidRDefault="00EF1C54" w:rsidP="00823D4D">
            <w:pPr>
              <w:spacing w:line="240" w:lineRule="auto"/>
              <w:jc w:val="center"/>
              <w:rPr>
                <w:rFonts w:ascii="Calibri" w:hAnsi="Calibri" w:cs="Calibri"/>
                <w:b/>
                <w:sz w:val="20"/>
                <w:szCs w:val="24"/>
                <w:lang w:val="en-US" w:eastAsia="en-US"/>
              </w:rPr>
            </w:pPr>
            <w:r w:rsidRPr="008255B5">
              <w:rPr>
                <w:rFonts w:ascii="Calibri" w:hAnsi="Calibri" w:cs="Calibri"/>
                <w:b/>
                <w:sz w:val="20"/>
                <w:szCs w:val="24"/>
                <w:lang w:val="en-US" w:eastAsia="en-US"/>
              </w:rPr>
              <w:t>TERM 7</w:t>
            </w:r>
          </w:p>
        </w:tc>
        <w:tc>
          <w:tcPr>
            <w:tcW w:w="3100" w:type="dxa"/>
            <w:shd w:val="clear" w:color="auto" w:fill="DFF1F9"/>
            <w:vAlign w:val="center"/>
          </w:tcPr>
          <w:p w:rsidR="00EF1C54" w:rsidRPr="008255B5" w:rsidRDefault="00EF1C54" w:rsidP="00823D4D">
            <w:pPr>
              <w:spacing w:line="240" w:lineRule="auto"/>
              <w:jc w:val="center"/>
              <w:rPr>
                <w:rFonts w:ascii="Calibri" w:hAnsi="Calibri" w:cs="Calibri"/>
                <w:b/>
                <w:sz w:val="20"/>
                <w:szCs w:val="24"/>
                <w:lang w:val="en-US" w:eastAsia="en-US"/>
              </w:rPr>
            </w:pPr>
            <w:r w:rsidRPr="008255B5">
              <w:rPr>
                <w:rFonts w:ascii="Calibri" w:hAnsi="Calibri" w:cs="Calibri"/>
                <w:b/>
                <w:sz w:val="20"/>
                <w:szCs w:val="24"/>
                <w:lang w:val="en-US" w:eastAsia="en-US"/>
              </w:rPr>
              <w:t>TERM 8</w:t>
            </w:r>
          </w:p>
        </w:tc>
      </w:tr>
      <w:tr w:rsidR="00EF1C54" w:rsidRPr="00223436" w:rsidTr="00823D4D">
        <w:tc>
          <w:tcPr>
            <w:tcW w:w="3101" w:type="dxa"/>
            <w:tcBorders>
              <w:bottom w:val="single" w:sz="4" w:space="0" w:color="auto"/>
            </w:tcBorders>
            <w:shd w:val="clear" w:color="auto" w:fill="auto"/>
          </w:tcPr>
          <w:p w:rsidR="00EF1C54" w:rsidRPr="008255B5" w:rsidRDefault="00EF1C54" w:rsidP="00EF1C54">
            <w:pPr>
              <w:numPr>
                <w:ilvl w:val="0"/>
                <w:numId w:val="39"/>
              </w:numPr>
              <w:spacing w:line="240" w:lineRule="auto"/>
              <w:rPr>
                <w:rFonts w:ascii="Calibri" w:hAnsi="Calibri" w:cs="Calibri"/>
                <w:sz w:val="20"/>
                <w:szCs w:val="20"/>
                <w:lang w:val="en-US" w:eastAsia="en-US"/>
              </w:rPr>
            </w:pPr>
            <w:r w:rsidRPr="008255B5">
              <w:rPr>
                <w:rFonts w:ascii="Calibri" w:hAnsi="Calibri" w:cs="Calibri"/>
                <w:sz w:val="20"/>
                <w:szCs w:val="20"/>
                <w:lang w:val="en-US" w:eastAsia="en-US"/>
              </w:rPr>
              <w:t>Anatomy and Physiology – Digestive System &amp; Energy Systems</w:t>
            </w:r>
          </w:p>
          <w:p w:rsidR="00EF1C54" w:rsidRPr="008255B5" w:rsidRDefault="00EF1C54" w:rsidP="00EF1C54">
            <w:pPr>
              <w:numPr>
                <w:ilvl w:val="0"/>
                <w:numId w:val="39"/>
              </w:numPr>
              <w:spacing w:line="240" w:lineRule="auto"/>
              <w:rPr>
                <w:rFonts w:ascii="Calibri" w:hAnsi="Calibri" w:cs="Calibri"/>
                <w:sz w:val="20"/>
                <w:szCs w:val="20"/>
                <w:lang w:val="en-US" w:eastAsia="en-US"/>
              </w:rPr>
            </w:pPr>
            <w:r w:rsidRPr="008255B5">
              <w:rPr>
                <w:rFonts w:ascii="Calibri" w:hAnsi="Calibri" w:cs="Calibri"/>
                <w:sz w:val="20"/>
                <w:szCs w:val="20"/>
                <w:lang w:val="en-US" w:eastAsia="en-US"/>
              </w:rPr>
              <w:t>Nutrition – Providing Healthy Eating Information</w:t>
            </w:r>
          </w:p>
        </w:tc>
        <w:tc>
          <w:tcPr>
            <w:tcW w:w="3099" w:type="dxa"/>
            <w:tcBorders>
              <w:bottom w:val="single" w:sz="4" w:space="0" w:color="auto"/>
            </w:tcBorders>
            <w:shd w:val="clear" w:color="auto" w:fill="auto"/>
          </w:tcPr>
          <w:p w:rsidR="00EF1C54" w:rsidRPr="008255B5" w:rsidRDefault="00EF1C54" w:rsidP="00EF1C54">
            <w:pPr>
              <w:numPr>
                <w:ilvl w:val="0"/>
                <w:numId w:val="39"/>
              </w:numPr>
              <w:spacing w:line="240" w:lineRule="auto"/>
              <w:rPr>
                <w:rFonts w:ascii="Calibri" w:hAnsi="Calibri" w:cs="Calibri"/>
                <w:b/>
                <w:sz w:val="20"/>
                <w:szCs w:val="24"/>
                <w:lang w:val="en-US" w:eastAsia="en-US"/>
              </w:rPr>
            </w:pPr>
            <w:r w:rsidRPr="008255B5">
              <w:rPr>
                <w:rFonts w:ascii="Calibri" w:hAnsi="Calibri" w:cs="Calibri"/>
                <w:sz w:val="20"/>
                <w:szCs w:val="20"/>
                <w:lang w:val="en-US" w:eastAsia="en-US"/>
              </w:rPr>
              <w:t>Training Older Clients</w:t>
            </w:r>
          </w:p>
        </w:tc>
        <w:tc>
          <w:tcPr>
            <w:tcW w:w="3101" w:type="dxa"/>
            <w:tcBorders>
              <w:bottom w:val="single" w:sz="4" w:space="0" w:color="auto"/>
            </w:tcBorders>
            <w:shd w:val="clear" w:color="auto" w:fill="auto"/>
          </w:tcPr>
          <w:p w:rsidR="00EF1C54" w:rsidRPr="008255B5" w:rsidRDefault="00EF1C54" w:rsidP="00EF1C54">
            <w:pPr>
              <w:numPr>
                <w:ilvl w:val="0"/>
                <w:numId w:val="40"/>
              </w:numPr>
              <w:spacing w:line="240" w:lineRule="auto"/>
              <w:ind w:left="357" w:hanging="357"/>
              <w:rPr>
                <w:rFonts w:ascii="Calibri" w:hAnsi="Calibri" w:cs="Calibri"/>
                <w:b/>
                <w:sz w:val="20"/>
                <w:szCs w:val="24"/>
                <w:lang w:val="en-US" w:eastAsia="en-US"/>
              </w:rPr>
            </w:pPr>
            <w:r w:rsidRPr="008255B5">
              <w:rPr>
                <w:rFonts w:ascii="Calibri" w:hAnsi="Calibri" w:cs="Calibri"/>
                <w:sz w:val="20"/>
                <w:szCs w:val="20"/>
                <w:lang w:val="en-US" w:eastAsia="en-US"/>
              </w:rPr>
              <w:t>Training Other Specific Population Clients</w:t>
            </w:r>
          </w:p>
        </w:tc>
        <w:tc>
          <w:tcPr>
            <w:tcW w:w="3100" w:type="dxa"/>
            <w:tcBorders>
              <w:bottom w:val="single" w:sz="4" w:space="0" w:color="auto"/>
            </w:tcBorders>
            <w:shd w:val="clear" w:color="auto" w:fill="FFFFFF"/>
          </w:tcPr>
          <w:p w:rsidR="00EF1C54" w:rsidRPr="008255B5" w:rsidRDefault="00EF1C54" w:rsidP="00EF1C54">
            <w:pPr>
              <w:numPr>
                <w:ilvl w:val="0"/>
                <w:numId w:val="40"/>
              </w:numPr>
              <w:spacing w:line="240" w:lineRule="auto"/>
              <w:rPr>
                <w:rFonts w:ascii="Calibri" w:hAnsi="Calibri" w:cs="Calibri"/>
                <w:b/>
                <w:sz w:val="20"/>
                <w:szCs w:val="24"/>
                <w:lang w:val="en-US" w:eastAsia="en-US"/>
              </w:rPr>
            </w:pPr>
            <w:r w:rsidRPr="008255B5">
              <w:rPr>
                <w:rFonts w:ascii="Calibri" w:hAnsi="Calibri" w:cs="Calibri"/>
                <w:sz w:val="20"/>
                <w:szCs w:val="20"/>
                <w:lang w:val="en-US" w:eastAsia="en-US"/>
              </w:rPr>
              <w:t>First Aid and/or CPR certificate</w:t>
            </w:r>
          </w:p>
          <w:p w:rsidR="00EF1C54" w:rsidRPr="008255B5" w:rsidRDefault="00EF1C54" w:rsidP="00823D4D">
            <w:pPr>
              <w:spacing w:line="240" w:lineRule="auto"/>
              <w:rPr>
                <w:rFonts w:ascii="Calibri" w:hAnsi="Calibri" w:cs="Calibri"/>
                <w:b/>
                <w:sz w:val="18"/>
                <w:szCs w:val="18"/>
                <w:lang w:val="en-US" w:eastAsia="en-US"/>
              </w:rPr>
            </w:pPr>
            <w:r w:rsidRPr="008255B5">
              <w:rPr>
                <w:rFonts w:ascii="Calibri" w:hAnsi="Calibri" w:cs="Calibri"/>
                <w:b/>
                <w:i/>
                <w:sz w:val="18"/>
                <w:szCs w:val="18"/>
                <w:u w:val="single"/>
                <w:lang w:val="en-US" w:eastAsia="en-US"/>
              </w:rPr>
              <w:t>Finalisation of qualification</w:t>
            </w:r>
            <w:r w:rsidRPr="008255B5">
              <w:rPr>
                <w:rFonts w:ascii="Calibri" w:hAnsi="Calibri" w:cs="Calibri"/>
                <w:b/>
                <w:i/>
                <w:sz w:val="18"/>
                <w:szCs w:val="18"/>
                <w:lang w:val="en-US" w:eastAsia="en-US"/>
              </w:rPr>
              <w:t>: SIS30315 Certificate III in Fitness</w:t>
            </w:r>
          </w:p>
        </w:tc>
      </w:tr>
    </w:tbl>
    <w:p w:rsidR="00EF1C54" w:rsidRPr="00223436" w:rsidRDefault="00EF1C54" w:rsidP="00EF1C54">
      <w:pPr>
        <w:spacing w:after="4"/>
        <w:rPr>
          <w:rFonts w:eastAsia="Arial" w:cs="Arial"/>
          <w:color w:val="000000"/>
          <w:lang w:val="en-US"/>
        </w:rPr>
      </w:pPr>
    </w:p>
    <w:p w:rsidR="002A048C" w:rsidRDefault="00EF1C54" w:rsidP="00EF1C54">
      <w:pPr>
        <w:rPr>
          <w:rFonts w:eastAsia="Arial" w:cs="Arial"/>
          <w:b/>
          <w:color w:val="000000"/>
        </w:rPr>
      </w:pPr>
      <w:r w:rsidRPr="00223436">
        <w:rPr>
          <w:rFonts w:eastAsia="Arial" w:cs="Arial"/>
          <w:b/>
          <w:color w:val="000000"/>
        </w:rPr>
        <w:t xml:space="preserve"> </w:t>
      </w:r>
    </w:p>
    <w:p w:rsidR="002A048C" w:rsidRDefault="002A048C">
      <w:pPr>
        <w:rPr>
          <w:rFonts w:eastAsia="Arial" w:cs="Arial"/>
          <w:b/>
          <w:color w:val="000000"/>
        </w:rPr>
      </w:pPr>
      <w:r>
        <w:rPr>
          <w:rFonts w:eastAsia="Arial" w:cs="Arial"/>
          <w:b/>
          <w:color w:val="000000"/>
        </w:rPr>
        <w:br w:type="page"/>
      </w:r>
    </w:p>
    <w:p w:rsidR="00EF1C54" w:rsidRPr="00223436" w:rsidRDefault="00EF1C54" w:rsidP="00EF1C54">
      <w:pPr>
        <w:rPr>
          <w:rFonts w:eastAsia="Arial" w:cs="Arial"/>
          <w:color w:val="000000"/>
        </w:rPr>
      </w:pPr>
    </w:p>
    <w:p w:rsidR="00EF1C54" w:rsidRPr="00223436" w:rsidRDefault="00EF1C54" w:rsidP="00EF1C54">
      <w:pPr>
        <w:spacing w:after="2"/>
        <w:ind w:left="-5" w:hanging="10"/>
        <w:rPr>
          <w:rFonts w:eastAsia="Arial" w:cs="Arial"/>
          <w:color w:val="000000"/>
        </w:rPr>
      </w:pPr>
      <w:r w:rsidRPr="00223436">
        <w:rPr>
          <w:rFonts w:eastAsia="Arial" w:cs="Arial"/>
          <w:b/>
          <w:color w:val="000000"/>
        </w:rPr>
        <w:t xml:space="preserve">UNITS OF COMPETENCY </w:t>
      </w:r>
    </w:p>
    <w:p w:rsidR="00EF1C54" w:rsidRPr="00223436" w:rsidRDefault="00EF1C54" w:rsidP="00EF1C54">
      <w:pPr>
        <w:spacing w:after="4"/>
        <w:rPr>
          <w:rFonts w:eastAsia="Arial" w:cs="Arial"/>
          <w:color w:val="000000"/>
        </w:rPr>
      </w:pPr>
      <w:r w:rsidRPr="00223436">
        <w:rPr>
          <w:rFonts w:eastAsia="Arial" w:cs="Arial"/>
          <w:color w:val="000000"/>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578"/>
        <w:gridCol w:w="5666"/>
        <w:gridCol w:w="1824"/>
      </w:tblGrid>
      <w:tr w:rsidR="00EF1C54" w:rsidRPr="008255B5" w:rsidTr="00823D4D">
        <w:trPr>
          <w:trHeight w:val="440"/>
        </w:trPr>
        <w:tc>
          <w:tcPr>
            <w:tcW w:w="870" w:type="pct"/>
            <w:shd w:val="clear" w:color="auto" w:fill="F2F2F2"/>
            <w:vAlign w:val="center"/>
          </w:tcPr>
          <w:p w:rsidR="00EF1C54" w:rsidRPr="008255B5" w:rsidRDefault="00EF1C54" w:rsidP="00823D4D">
            <w:pPr>
              <w:pBdr>
                <w:top w:val="nil"/>
                <w:left w:val="nil"/>
                <w:bottom w:val="nil"/>
                <w:right w:val="nil"/>
                <w:between w:val="nil"/>
              </w:pBdr>
              <w:spacing w:after="161" w:line="260" w:lineRule="auto"/>
              <w:ind w:left="10" w:hanging="10"/>
              <w:jc w:val="center"/>
              <w:rPr>
                <w:rFonts w:eastAsia="Arial" w:cstheme="minorHAnsi"/>
                <w:b/>
                <w:color w:val="000000"/>
                <w:sz w:val="20"/>
                <w:szCs w:val="20"/>
              </w:rPr>
            </w:pPr>
            <w:r w:rsidRPr="008255B5">
              <w:rPr>
                <w:rFonts w:eastAsia="Arial" w:cstheme="minorHAnsi"/>
                <w:b/>
                <w:color w:val="000000"/>
                <w:sz w:val="20"/>
                <w:szCs w:val="20"/>
              </w:rPr>
              <w:t>UNIT CODE</w:t>
            </w:r>
          </w:p>
        </w:tc>
        <w:tc>
          <w:tcPr>
            <w:tcW w:w="3124" w:type="pct"/>
            <w:shd w:val="clear" w:color="auto" w:fill="F2F2F2"/>
            <w:vAlign w:val="center"/>
          </w:tcPr>
          <w:p w:rsidR="00EF1C54" w:rsidRPr="008255B5" w:rsidRDefault="00EF1C54" w:rsidP="00823D4D">
            <w:pPr>
              <w:pBdr>
                <w:top w:val="nil"/>
                <w:left w:val="nil"/>
                <w:bottom w:val="nil"/>
                <w:right w:val="nil"/>
                <w:between w:val="nil"/>
              </w:pBdr>
              <w:spacing w:after="161" w:line="260" w:lineRule="auto"/>
              <w:ind w:left="10" w:hanging="10"/>
              <w:jc w:val="center"/>
              <w:rPr>
                <w:rFonts w:eastAsia="Arial" w:cstheme="minorHAnsi"/>
                <w:b/>
                <w:color w:val="000000"/>
                <w:sz w:val="20"/>
                <w:szCs w:val="20"/>
              </w:rPr>
            </w:pPr>
            <w:r w:rsidRPr="008255B5">
              <w:rPr>
                <w:rFonts w:eastAsia="Arial" w:cstheme="minorHAnsi"/>
                <w:b/>
                <w:color w:val="000000"/>
                <w:sz w:val="20"/>
                <w:szCs w:val="20"/>
              </w:rPr>
              <w:t>UNIT TITLE</w:t>
            </w:r>
          </w:p>
        </w:tc>
        <w:tc>
          <w:tcPr>
            <w:tcW w:w="1006" w:type="pct"/>
            <w:shd w:val="clear" w:color="auto" w:fill="F2F2F2"/>
            <w:vAlign w:val="center"/>
          </w:tcPr>
          <w:p w:rsidR="00EF1C54" w:rsidRPr="008255B5" w:rsidRDefault="00EF1C54" w:rsidP="00823D4D">
            <w:pPr>
              <w:spacing w:before="40" w:after="40" w:line="260" w:lineRule="auto"/>
              <w:ind w:left="10" w:hanging="10"/>
              <w:jc w:val="center"/>
              <w:rPr>
                <w:rFonts w:eastAsia="Arial" w:cstheme="minorHAnsi"/>
                <w:b/>
                <w:color w:val="000000"/>
                <w:sz w:val="20"/>
                <w:szCs w:val="20"/>
              </w:rPr>
            </w:pPr>
            <w:r w:rsidRPr="008255B5">
              <w:rPr>
                <w:rFonts w:eastAsia="Arial" w:cstheme="minorHAnsi"/>
                <w:b/>
                <w:color w:val="000000"/>
                <w:sz w:val="20"/>
                <w:szCs w:val="20"/>
              </w:rPr>
              <w:t>Core / Elective</w:t>
            </w:r>
          </w:p>
        </w:tc>
      </w:tr>
      <w:tr w:rsidR="00EF1C54" w:rsidRPr="008255B5" w:rsidTr="00823D4D">
        <w:trPr>
          <w:trHeight w:val="454"/>
        </w:trPr>
        <w:tc>
          <w:tcPr>
            <w:tcW w:w="870" w:type="pct"/>
            <w:shd w:val="clear" w:color="auto" w:fill="FFFFFF" w:themeFill="background1"/>
            <w:vAlign w:val="center"/>
          </w:tcPr>
          <w:p w:rsidR="00EF1C54" w:rsidRPr="008255B5" w:rsidRDefault="00EF1C54" w:rsidP="00823D4D">
            <w:pPr>
              <w:pBdr>
                <w:top w:val="nil"/>
                <w:left w:val="nil"/>
                <w:bottom w:val="nil"/>
                <w:right w:val="nil"/>
                <w:between w:val="nil"/>
              </w:pBd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HLTWHS001</w:t>
            </w:r>
          </w:p>
        </w:tc>
        <w:tc>
          <w:tcPr>
            <w:tcW w:w="3124" w:type="pct"/>
            <w:shd w:val="clear" w:color="auto" w:fill="FFFFFF" w:themeFill="background1"/>
            <w:vAlign w:val="center"/>
          </w:tcPr>
          <w:p w:rsidR="00EF1C54" w:rsidRPr="008255B5" w:rsidRDefault="00EF1C54" w:rsidP="00823D4D">
            <w:pPr>
              <w:pBdr>
                <w:top w:val="nil"/>
                <w:left w:val="nil"/>
                <w:bottom w:val="nil"/>
                <w:right w:val="nil"/>
                <w:between w:val="nil"/>
              </w:pBdr>
              <w:spacing w:line="260" w:lineRule="auto"/>
              <w:ind w:left="10" w:hanging="10"/>
              <w:rPr>
                <w:rFonts w:eastAsia="Arial" w:cstheme="minorHAnsi"/>
                <w:color w:val="000000"/>
                <w:sz w:val="18"/>
                <w:szCs w:val="18"/>
              </w:rPr>
            </w:pPr>
            <w:r w:rsidRPr="008255B5">
              <w:rPr>
                <w:rFonts w:eastAsia="Arial" w:cstheme="minorHAnsi"/>
                <w:color w:val="000000"/>
                <w:sz w:val="18"/>
                <w:szCs w:val="18"/>
              </w:rPr>
              <w:t>Participate in workplace health and safety</w:t>
            </w:r>
          </w:p>
        </w:tc>
        <w:tc>
          <w:tcPr>
            <w:tcW w:w="1006" w:type="pct"/>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E (Gym)</w:t>
            </w:r>
          </w:p>
        </w:tc>
      </w:tr>
      <w:tr w:rsidR="00EF1C54" w:rsidRPr="008255B5" w:rsidTr="00823D4D">
        <w:trPr>
          <w:trHeight w:val="454"/>
        </w:trPr>
        <w:tc>
          <w:tcPr>
            <w:tcW w:w="870" w:type="pct"/>
            <w:shd w:val="clear" w:color="auto" w:fill="FFFFFF" w:themeFill="background1"/>
            <w:vAlign w:val="center"/>
          </w:tcPr>
          <w:p w:rsidR="00EF1C54" w:rsidRPr="008255B5" w:rsidRDefault="00EF1C54" w:rsidP="00823D4D">
            <w:pPr>
              <w:pBdr>
                <w:top w:val="nil"/>
                <w:left w:val="nil"/>
                <w:bottom w:val="nil"/>
                <w:right w:val="nil"/>
                <w:between w:val="nil"/>
              </w:pBd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shd w:val="clear" w:color="auto" w:fill="FFFFFF"/>
              </w:rPr>
              <w:t>BSBRSK401</w:t>
            </w:r>
          </w:p>
        </w:tc>
        <w:tc>
          <w:tcPr>
            <w:tcW w:w="3124" w:type="pct"/>
            <w:shd w:val="clear" w:color="auto" w:fill="FFFFFF" w:themeFill="background1"/>
            <w:vAlign w:val="center"/>
          </w:tcPr>
          <w:p w:rsidR="00EF1C54" w:rsidRPr="008255B5" w:rsidRDefault="00EF1C54" w:rsidP="00823D4D">
            <w:pPr>
              <w:pBdr>
                <w:top w:val="nil"/>
                <w:left w:val="nil"/>
                <w:bottom w:val="nil"/>
                <w:right w:val="nil"/>
                <w:between w:val="nil"/>
              </w:pBdr>
              <w:spacing w:line="260" w:lineRule="auto"/>
              <w:ind w:left="10" w:hanging="10"/>
              <w:rPr>
                <w:rFonts w:eastAsia="Arial" w:cstheme="minorHAnsi"/>
                <w:color w:val="000000"/>
                <w:sz w:val="18"/>
                <w:szCs w:val="18"/>
              </w:rPr>
            </w:pPr>
            <w:r w:rsidRPr="008255B5">
              <w:rPr>
                <w:rFonts w:eastAsia="Arial" w:cstheme="minorHAnsi"/>
                <w:color w:val="000000"/>
                <w:sz w:val="18"/>
                <w:szCs w:val="18"/>
                <w:shd w:val="clear" w:color="auto" w:fill="FFFFFF"/>
              </w:rPr>
              <w:t>Identify risk and apply risk management processes</w:t>
            </w:r>
          </w:p>
        </w:tc>
        <w:tc>
          <w:tcPr>
            <w:tcW w:w="1006" w:type="pct"/>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E (Gym)</w:t>
            </w:r>
          </w:p>
        </w:tc>
      </w:tr>
      <w:tr w:rsidR="00EF1C54" w:rsidRPr="008255B5" w:rsidTr="00823D4D">
        <w:trPr>
          <w:trHeight w:val="454"/>
        </w:trPr>
        <w:tc>
          <w:tcPr>
            <w:tcW w:w="870" w:type="pct"/>
            <w:shd w:val="clear" w:color="auto" w:fill="FFFFFF" w:themeFill="background1"/>
            <w:vAlign w:val="center"/>
          </w:tcPr>
          <w:p w:rsidR="00EF1C54" w:rsidRPr="008255B5" w:rsidRDefault="00EF1C54" w:rsidP="00823D4D">
            <w:pPr>
              <w:pBdr>
                <w:top w:val="nil"/>
                <w:left w:val="nil"/>
                <w:bottom w:val="nil"/>
                <w:right w:val="nil"/>
                <w:between w:val="nil"/>
              </w:pBd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SISXEMR001</w:t>
            </w:r>
          </w:p>
        </w:tc>
        <w:tc>
          <w:tcPr>
            <w:tcW w:w="3124" w:type="pct"/>
            <w:shd w:val="clear" w:color="auto" w:fill="FFFFFF" w:themeFill="background1"/>
            <w:vAlign w:val="center"/>
          </w:tcPr>
          <w:p w:rsidR="00EF1C54" w:rsidRPr="008255B5" w:rsidRDefault="00EF1C54" w:rsidP="00823D4D">
            <w:pPr>
              <w:pBdr>
                <w:top w:val="nil"/>
                <w:left w:val="nil"/>
                <w:bottom w:val="nil"/>
                <w:right w:val="nil"/>
                <w:between w:val="nil"/>
              </w:pBdr>
              <w:spacing w:line="260" w:lineRule="auto"/>
              <w:ind w:left="10" w:hanging="10"/>
              <w:rPr>
                <w:rFonts w:eastAsia="Arial" w:cstheme="minorHAnsi"/>
                <w:color w:val="000000"/>
                <w:sz w:val="18"/>
                <w:szCs w:val="18"/>
              </w:rPr>
            </w:pPr>
            <w:r w:rsidRPr="008255B5">
              <w:rPr>
                <w:rFonts w:eastAsia="Arial" w:cstheme="minorHAnsi"/>
                <w:color w:val="000000"/>
                <w:sz w:val="18"/>
                <w:szCs w:val="18"/>
              </w:rPr>
              <w:t>Respond to emergency situations</w:t>
            </w:r>
          </w:p>
        </w:tc>
        <w:tc>
          <w:tcPr>
            <w:tcW w:w="1006" w:type="pct"/>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E</w:t>
            </w:r>
          </w:p>
        </w:tc>
      </w:tr>
      <w:tr w:rsidR="00EF1C54" w:rsidRPr="008255B5" w:rsidTr="00823D4D">
        <w:trPr>
          <w:trHeight w:val="454"/>
        </w:trPr>
        <w:tc>
          <w:tcPr>
            <w:tcW w:w="870" w:type="pct"/>
            <w:shd w:val="clear" w:color="auto" w:fill="FFFFFF" w:themeFill="background1"/>
            <w:vAlign w:val="center"/>
          </w:tcPr>
          <w:p w:rsidR="00EF1C54" w:rsidRPr="008255B5" w:rsidRDefault="00EF1C54" w:rsidP="00823D4D">
            <w:pPr>
              <w:pBdr>
                <w:top w:val="nil"/>
                <w:left w:val="nil"/>
                <w:bottom w:val="nil"/>
                <w:right w:val="nil"/>
                <w:between w:val="nil"/>
              </w:pBd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shd w:val="clear" w:color="auto" w:fill="FFFFFF"/>
              </w:rPr>
              <w:t>SISXCCS001</w:t>
            </w:r>
          </w:p>
        </w:tc>
        <w:tc>
          <w:tcPr>
            <w:tcW w:w="3124" w:type="pct"/>
            <w:shd w:val="clear" w:color="auto" w:fill="FFFFFF" w:themeFill="background1"/>
            <w:vAlign w:val="center"/>
          </w:tcPr>
          <w:p w:rsidR="00EF1C54" w:rsidRPr="008255B5" w:rsidRDefault="00EF1C54" w:rsidP="00823D4D">
            <w:pPr>
              <w:pBdr>
                <w:top w:val="nil"/>
                <w:left w:val="nil"/>
                <w:bottom w:val="nil"/>
                <w:right w:val="nil"/>
                <w:between w:val="nil"/>
              </w:pBdr>
              <w:spacing w:line="260" w:lineRule="auto"/>
              <w:ind w:left="10" w:hanging="10"/>
              <w:rPr>
                <w:rFonts w:eastAsia="Arial" w:cstheme="minorHAnsi"/>
                <w:color w:val="000000"/>
                <w:sz w:val="18"/>
                <w:szCs w:val="18"/>
              </w:rPr>
            </w:pPr>
            <w:r w:rsidRPr="008255B5">
              <w:rPr>
                <w:rFonts w:eastAsia="Arial" w:cstheme="minorHAnsi"/>
                <w:color w:val="000000"/>
                <w:sz w:val="18"/>
                <w:szCs w:val="18"/>
                <w:shd w:val="clear" w:color="auto" w:fill="FFFFFF"/>
              </w:rPr>
              <w:t>Provide quality service</w:t>
            </w:r>
          </w:p>
        </w:tc>
        <w:tc>
          <w:tcPr>
            <w:tcW w:w="1006" w:type="pct"/>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Core</w:t>
            </w:r>
          </w:p>
        </w:tc>
      </w:tr>
      <w:tr w:rsidR="00EF1C54" w:rsidRPr="008255B5" w:rsidTr="00823D4D">
        <w:trPr>
          <w:trHeight w:val="454"/>
        </w:trPr>
        <w:tc>
          <w:tcPr>
            <w:tcW w:w="870" w:type="pct"/>
            <w:shd w:val="clear" w:color="auto" w:fill="FFFFFF" w:themeFill="background1"/>
            <w:vAlign w:val="center"/>
          </w:tcPr>
          <w:p w:rsidR="00EF1C54" w:rsidRPr="008255B5" w:rsidRDefault="00EF1C54" w:rsidP="00823D4D">
            <w:pPr>
              <w:pBdr>
                <w:top w:val="nil"/>
                <w:left w:val="nil"/>
                <w:bottom w:val="nil"/>
                <w:right w:val="nil"/>
                <w:between w:val="nil"/>
              </w:pBd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shd w:val="clear" w:color="auto" w:fill="FFFFFF"/>
              </w:rPr>
              <w:t>SISXIND001</w:t>
            </w:r>
          </w:p>
        </w:tc>
        <w:tc>
          <w:tcPr>
            <w:tcW w:w="3124" w:type="pct"/>
            <w:shd w:val="clear" w:color="auto" w:fill="FFFFFF" w:themeFill="background1"/>
            <w:vAlign w:val="center"/>
          </w:tcPr>
          <w:p w:rsidR="00EF1C54" w:rsidRPr="008255B5" w:rsidRDefault="00EF1C54" w:rsidP="00823D4D">
            <w:pPr>
              <w:pBdr>
                <w:top w:val="nil"/>
                <w:left w:val="nil"/>
                <w:bottom w:val="nil"/>
                <w:right w:val="nil"/>
                <w:between w:val="nil"/>
              </w:pBdr>
              <w:spacing w:line="260" w:lineRule="auto"/>
              <w:ind w:left="10" w:hanging="10"/>
              <w:rPr>
                <w:rFonts w:eastAsia="Arial" w:cstheme="minorHAnsi"/>
                <w:color w:val="000000"/>
                <w:sz w:val="18"/>
                <w:szCs w:val="18"/>
              </w:rPr>
            </w:pPr>
            <w:r w:rsidRPr="008255B5">
              <w:rPr>
                <w:rFonts w:eastAsia="Arial" w:cstheme="minorHAnsi"/>
                <w:color w:val="000000"/>
                <w:sz w:val="18"/>
                <w:szCs w:val="18"/>
                <w:shd w:val="clear" w:color="auto" w:fill="FFFFFF"/>
              </w:rPr>
              <w:t>Work effectively in sport, fitness and recreation environments</w:t>
            </w:r>
          </w:p>
        </w:tc>
        <w:tc>
          <w:tcPr>
            <w:tcW w:w="1006" w:type="pct"/>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Core</w:t>
            </w:r>
          </w:p>
        </w:tc>
      </w:tr>
      <w:tr w:rsidR="00EF1C54" w:rsidRPr="008255B5" w:rsidTr="00823D4D">
        <w:trPr>
          <w:trHeight w:val="454"/>
        </w:trPr>
        <w:tc>
          <w:tcPr>
            <w:tcW w:w="870" w:type="pct"/>
            <w:shd w:val="clear" w:color="auto" w:fill="FFFFFF" w:themeFill="background1"/>
            <w:vAlign w:val="center"/>
          </w:tcPr>
          <w:p w:rsidR="00EF1C54" w:rsidRPr="008255B5" w:rsidRDefault="00EF1C54" w:rsidP="00823D4D">
            <w:pPr>
              <w:pBdr>
                <w:top w:val="nil"/>
                <w:left w:val="nil"/>
                <w:bottom w:val="nil"/>
                <w:right w:val="nil"/>
                <w:between w:val="nil"/>
              </w:pBd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SISXIND002</w:t>
            </w:r>
          </w:p>
        </w:tc>
        <w:tc>
          <w:tcPr>
            <w:tcW w:w="3124" w:type="pct"/>
            <w:shd w:val="clear" w:color="auto" w:fill="FFFFFF" w:themeFill="background1"/>
            <w:vAlign w:val="center"/>
          </w:tcPr>
          <w:p w:rsidR="00EF1C54" w:rsidRPr="008255B5" w:rsidRDefault="00EF1C54" w:rsidP="00823D4D">
            <w:pPr>
              <w:pBdr>
                <w:top w:val="nil"/>
                <w:left w:val="nil"/>
                <w:bottom w:val="nil"/>
                <w:right w:val="nil"/>
                <w:between w:val="nil"/>
              </w:pBdr>
              <w:spacing w:line="260" w:lineRule="auto"/>
              <w:ind w:left="10" w:hanging="10"/>
              <w:rPr>
                <w:rFonts w:eastAsia="Arial" w:cstheme="minorHAnsi"/>
                <w:color w:val="000000"/>
                <w:sz w:val="18"/>
                <w:szCs w:val="18"/>
              </w:rPr>
            </w:pPr>
            <w:r w:rsidRPr="008255B5">
              <w:rPr>
                <w:rFonts w:eastAsia="Arial" w:cstheme="minorHAnsi"/>
                <w:color w:val="000000"/>
                <w:sz w:val="18"/>
                <w:szCs w:val="18"/>
              </w:rPr>
              <w:t>Maintain sport, fitness and recreation industry knowledge</w:t>
            </w:r>
          </w:p>
        </w:tc>
        <w:tc>
          <w:tcPr>
            <w:tcW w:w="1006" w:type="pct"/>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E</w:t>
            </w:r>
          </w:p>
        </w:tc>
      </w:tr>
      <w:tr w:rsidR="00EF1C54" w:rsidRPr="008255B5" w:rsidTr="00823D4D">
        <w:trPr>
          <w:trHeight w:val="454"/>
        </w:trPr>
        <w:tc>
          <w:tcPr>
            <w:tcW w:w="870"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HLTAID003</w:t>
            </w:r>
          </w:p>
        </w:tc>
        <w:tc>
          <w:tcPr>
            <w:tcW w:w="3124" w:type="pct"/>
            <w:shd w:val="clear" w:color="auto" w:fill="FFFFFF" w:themeFill="background1"/>
            <w:vAlign w:val="center"/>
          </w:tcPr>
          <w:p w:rsidR="00EF1C54" w:rsidRPr="008255B5" w:rsidRDefault="00EF1C54" w:rsidP="00823D4D">
            <w:pPr>
              <w:spacing w:line="260" w:lineRule="auto"/>
              <w:ind w:left="10" w:hanging="10"/>
              <w:rPr>
                <w:rFonts w:eastAsia="Arial" w:cstheme="minorHAnsi"/>
                <w:color w:val="000000"/>
                <w:sz w:val="18"/>
                <w:szCs w:val="18"/>
              </w:rPr>
            </w:pPr>
            <w:r w:rsidRPr="008255B5">
              <w:rPr>
                <w:rFonts w:eastAsia="Arial" w:cstheme="minorHAnsi"/>
                <w:color w:val="000000"/>
                <w:sz w:val="18"/>
                <w:szCs w:val="18"/>
              </w:rPr>
              <w:t>Provide first aid</w:t>
            </w:r>
          </w:p>
        </w:tc>
        <w:tc>
          <w:tcPr>
            <w:tcW w:w="1006"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E (Gym)</w:t>
            </w:r>
          </w:p>
        </w:tc>
      </w:tr>
      <w:tr w:rsidR="00EF1C54" w:rsidRPr="008255B5" w:rsidTr="00823D4D">
        <w:trPr>
          <w:trHeight w:val="454"/>
        </w:trPr>
        <w:tc>
          <w:tcPr>
            <w:tcW w:w="870"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shd w:val="clear" w:color="auto" w:fill="FFFFFF"/>
              </w:rPr>
              <w:t>SISXFAC001</w:t>
            </w:r>
          </w:p>
        </w:tc>
        <w:tc>
          <w:tcPr>
            <w:tcW w:w="3124" w:type="pct"/>
            <w:shd w:val="clear" w:color="auto" w:fill="FFFFFF" w:themeFill="background1"/>
            <w:vAlign w:val="center"/>
          </w:tcPr>
          <w:p w:rsidR="00EF1C54" w:rsidRPr="008255B5" w:rsidRDefault="00EF1C54" w:rsidP="00823D4D">
            <w:pPr>
              <w:spacing w:line="260" w:lineRule="auto"/>
              <w:ind w:left="10" w:hanging="10"/>
              <w:rPr>
                <w:rFonts w:eastAsia="Arial" w:cstheme="minorHAnsi"/>
                <w:color w:val="000000"/>
                <w:sz w:val="18"/>
                <w:szCs w:val="18"/>
              </w:rPr>
            </w:pPr>
            <w:r w:rsidRPr="008255B5">
              <w:rPr>
                <w:rFonts w:eastAsia="Arial" w:cstheme="minorHAnsi"/>
                <w:color w:val="000000"/>
                <w:sz w:val="18"/>
                <w:szCs w:val="18"/>
                <w:shd w:val="clear" w:color="auto" w:fill="FFFFFF"/>
              </w:rPr>
              <w:t>Maintain equipment for activities</w:t>
            </w:r>
          </w:p>
        </w:tc>
        <w:tc>
          <w:tcPr>
            <w:tcW w:w="1006"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Core</w:t>
            </w:r>
          </w:p>
        </w:tc>
      </w:tr>
      <w:tr w:rsidR="00EF1C54" w:rsidRPr="008255B5" w:rsidTr="00823D4D">
        <w:trPr>
          <w:trHeight w:val="454"/>
        </w:trPr>
        <w:tc>
          <w:tcPr>
            <w:tcW w:w="870"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shd w:val="clear" w:color="auto" w:fill="FFFFFF"/>
              </w:rPr>
              <w:t>SISFFIT011</w:t>
            </w:r>
          </w:p>
        </w:tc>
        <w:tc>
          <w:tcPr>
            <w:tcW w:w="3124" w:type="pct"/>
            <w:shd w:val="clear" w:color="auto" w:fill="FFFFFF" w:themeFill="background1"/>
            <w:vAlign w:val="center"/>
          </w:tcPr>
          <w:p w:rsidR="00EF1C54" w:rsidRPr="008255B5" w:rsidRDefault="00EF1C54" w:rsidP="00823D4D">
            <w:pPr>
              <w:spacing w:line="260" w:lineRule="auto"/>
              <w:ind w:left="10" w:hanging="10"/>
              <w:rPr>
                <w:rFonts w:eastAsia="Arial" w:cstheme="minorHAnsi"/>
                <w:color w:val="000000"/>
                <w:sz w:val="18"/>
                <w:szCs w:val="18"/>
              </w:rPr>
            </w:pPr>
            <w:r w:rsidRPr="008255B5">
              <w:rPr>
                <w:rFonts w:eastAsia="Arial" w:cstheme="minorHAnsi"/>
                <w:color w:val="000000"/>
                <w:sz w:val="18"/>
                <w:szCs w:val="18"/>
              </w:rPr>
              <w:t>Instruct approved community fitness programs</w:t>
            </w:r>
          </w:p>
        </w:tc>
        <w:tc>
          <w:tcPr>
            <w:tcW w:w="1006"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E (General)</w:t>
            </w:r>
          </w:p>
        </w:tc>
      </w:tr>
      <w:tr w:rsidR="00EF1C54" w:rsidRPr="008255B5" w:rsidTr="00823D4D">
        <w:trPr>
          <w:trHeight w:val="454"/>
        </w:trPr>
        <w:tc>
          <w:tcPr>
            <w:tcW w:w="870"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shd w:val="clear" w:color="auto" w:fill="FFFFFF"/>
              </w:rPr>
              <w:t>SISFFIT001</w:t>
            </w:r>
          </w:p>
        </w:tc>
        <w:tc>
          <w:tcPr>
            <w:tcW w:w="3124" w:type="pct"/>
            <w:shd w:val="clear" w:color="auto" w:fill="FFFFFF" w:themeFill="background1"/>
            <w:vAlign w:val="center"/>
          </w:tcPr>
          <w:p w:rsidR="00EF1C54" w:rsidRPr="008255B5" w:rsidRDefault="00EF1C54" w:rsidP="00823D4D">
            <w:pPr>
              <w:spacing w:line="260" w:lineRule="auto"/>
              <w:ind w:left="10" w:hanging="10"/>
              <w:rPr>
                <w:rFonts w:eastAsia="Arial" w:cstheme="minorHAnsi"/>
                <w:color w:val="000000"/>
                <w:sz w:val="18"/>
                <w:szCs w:val="18"/>
              </w:rPr>
            </w:pPr>
            <w:r w:rsidRPr="008255B5">
              <w:rPr>
                <w:rFonts w:eastAsia="Arial" w:cstheme="minorHAnsi"/>
                <w:color w:val="000000"/>
                <w:sz w:val="18"/>
                <w:szCs w:val="18"/>
              </w:rPr>
              <w:t>Provide health screening and fitness orientation</w:t>
            </w:r>
          </w:p>
        </w:tc>
        <w:tc>
          <w:tcPr>
            <w:tcW w:w="1006"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Core</w:t>
            </w:r>
          </w:p>
        </w:tc>
      </w:tr>
      <w:tr w:rsidR="00EF1C54" w:rsidRPr="008255B5" w:rsidTr="00823D4D">
        <w:trPr>
          <w:trHeight w:val="454"/>
        </w:trPr>
        <w:tc>
          <w:tcPr>
            <w:tcW w:w="870"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shd w:val="clear" w:color="auto" w:fill="FFFFFF"/>
              </w:rPr>
              <w:t>SISFFIT003</w:t>
            </w:r>
          </w:p>
        </w:tc>
        <w:tc>
          <w:tcPr>
            <w:tcW w:w="3124" w:type="pct"/>
            <w:shd w:val="clear" w:color="auto" w:fill="FFFFFF" w:themeFill="background1"/>
            <w:vAlign w:val="center"/>
          </w:tcPr>
          <w:p w:rsidR="00EF1C54" w:rsidRPr="008255B5" w:rsidRDefault="00EF1C54" w:rsidP="00823D4D">
            <w:pPr>
              <w:spacing w:line="260" w:lineRule="auto"/>
              <w:ind w:left="10" w:hanging="10"/>
              <w:rPr>
                <w:rFonts w:eastAsia="Arial" w:cstheme="minorHAnsi"/>
                <w:color w:val="000000"/>
                <w:sz w:val="18"/>
                <w:szCs w:val="18"/>
              </w:rPr>
            </w:pPr>
            <w:r w:rsidRPr="008255B5">
              <w:rPr>
                <w:rFonts w:eastAsia="Arial" w:cstheme="minorHAnsi"/>
                <w:color w:val="000000"/>
                <w:sz w:val="18"/>
                <w:szCs w:val="18"/>
              </w:rPr>
              <w:t>Instruct fitness programs</w:t>
            </w:r>
          </w:p>
        </w:tc>
        <w:tc>
          <w:tcPr>
            <w:tcW w:w="1006"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Core</w:t>
            </w:r>
          </w:p>
        </w:tc>
      </w:tr>
      <w:tr w:rsidR="00EF1C54" w:rsidRPr="008255B5" w:rsidTr="00823D4D">
        <w:trPr>
          <w:trHeight w:val="454"/>
        </w:trPr>
        <w:tc>
          <w:tcPr>
            <w:tcW w:w="870"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shd w:val="clear" w:color="auto" w:fill="FFFFFF"/>
              </w:rPr>
              <w:t>SISFFIT004</w:t>
            </w:r>
          </w:p>
        </w:tc>
        <w:tc>
          <w:tcPr>
            <w:tcW w:w="3124" w:type="pct"/>
            <w:shd w:val="clear" w:color="auto" w:fill="FFFFFF" w:themeFill="background1"/>
            <w:vAlign w:val="center"/>
          </w:tcPr>
          <w:p w:rsidR="00EF1C54" w:rsidRPr="008255B5" w:rsidRDefault="00EF1C54" w:rsidP="00823D4D">
            <w:pPr>
              <w:spacing w:line="260" w:lineRule="auto"/>
              <w:ind w:left="10" w:hanging="10"/>
              <w:rPr>
                <w:rFonts w:eastAsia="Arial" w:cstheme="minorHAnsi"/>
                <w:color w:val="000000"/>
                <w:sz w:val="18"/>
                <w:szCs w:val="18"/>
              </w:rPr>
            </w:pPr>
            <w:r w:rsidRPr="008255B5">
              <w:rPr>
                <w:rFonts w:eastAsia="Arial" w:cstheme="minorHAnsi"/>
                <w:color w:val="000000"/>
                <w:sz w:val="18"/>
                <w:szCs w:val="18"/>
                <w:shd w:val="clear" w:color="auto" w:fill="FFFFFF"/>
              </w:rPr>
              <w:t>Incorporate anatomy and physiology principles into fitness programming</w:t>
            </w:r>
          </w:p>
        </w:tc>
        <w:tc>
          <w:tcPr>
            <w:tcW w:w="1006"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Core</w:t>
            </w:r>
          </w:p>
        </w:tc>
      </w:tr>
      <w:tr w:rsidR="00EF1C54" w:rsidRPr="008255B5" w:rsidTr="00823D4D">
        <w:trPr>
          <w:trHeight w:val="454"/>
        </w:trPr>
        <w:tc>
          <w:tcPr>
            <w:tcW w:w="870"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shd w:val="clear" w:color="auto" w:fill="FFFFFF"/>
              </w:rPr>
              <w:t>SISFFIT006</w:t>
            </w:r>
          </w:p>
        </w:tc>
        <w:tc>
          <w:tcPr>
            <w:tcW w:w="3124" w:type="pct"/>
            <w:shd w:val="clear" w:color="auto" w:fill="FFFFFF" w:themeFill="background1"/>
            <w:vAlign w:val="center"/>
          </w:tcPr>
          <w:p w:rsidR="00EF1C54" w:rsidRPr="008255B5" w:rsidRDefault="00EF1C54" w:rsidP="00823D4D">
            <w:pPr>
              <w:spacing w:line="260" w:lineRule="auto"/>
              <w:ind w:left="10" w:hanging="10"/>
              <w:rPr>
                <w:rFonts w:eastAsia="Arial" w:cstheme="minorHAnsi"/>
                <w:color w:val="000000"/>
                <w:sz w:val="18"/>
                <w:szCs w:val="18"/>
              </w:rPr>
            </w:pPr>
            <w:r w:rsidRPr="008255B5">
              <w:rPr>
                <w:rFonts w:eastAsia="Arial" w:cstheme="minorHAnsi"/>
                <w:color w:val="000000"/>
                <w:sz w:val="18"/>
                <w:szCs w:val="18"/>
                <w:shd w:val="clear" w:color="auto" w:fill="FFFFFF"/>
              </w:rPr>
              <w:t>Conduct fitness appraisals</w:t>
            </w:r>
          </w:p>
        </w:tc>
        <w:tc>
          <w:tcPr>
            <w:tcW w:w="1006"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E (Gym)</w:t>
            </w:r>
          </w:p>
        </w:tc>
      </w:tr>
      <w:tr w:rsidR="00EF1C54" w:rsidRPr="008255B5" w:rsidTr="00823D4D">
        <w:trPr>
          <w:trHeight w:val="454"/>
        </w:trPr>
        <w:tc>
          <w:tcPr>
            <w:tcW w:w="870"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shd w:val="clear" w:color="auto" w:fill="FFFFFF"/>
              </w:rPr>
              <w:t>SISFFIT002</w:t>
            </w:r>
          </w:p>
        </w:tc>
        <w:tc>
          <w:tcPr>
            <w:tcW w:w="3124" w:type="pct"/>
            <w:shd w:val="clear" w:color="auto" w:fill="FFFFFF" w:themeFill="background1"/>
            <w:vAlign w:val="center"/>
          </w:tcPr>
          <w:p w:rsidR="00EF1C54" w:rsidRPr="008255B5" w:rsidRDefault="00EF1C54" w:rsidP="00823D4D">
            <w:pPr>
              <w:spacing w:line="260" w:lineRule="auto"/>
              <w:ind w:left="10" w:hanging="10"/>
              <w:rPr>
                <w:rFonts w:eastAsia="Arial" w:cstheme="minorHAnsi"/>
                <w:color w:val="000000"/>
                <w:sz w:val="18"/>
                <w:szCs w:val="18"/>
              </w:rPr>
            </w:pPr>
            <w:r w:rsidRPr="008255B5">
              <w:rPr>
                <w:rFonts w:eastAsia="Arial" w:cstheme="minorHAnsi"/>
                <w:color w:val="000000"/>
                <w:sz w:val="18"/>
                <w:szCs w:val="18"/>
                <w:shd w:val="clear" w:color="auto" w:fill="FFFFFF"/>
              </w:rPr>
              <w:t>Recognise and apply exercise considerations for specific populations</w:t>
            </w:r>
          </w:p>
        </w:tc>
        <w:tc>
          <w:tcPr>
            <w:tcW w:w="1006"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Core</w:t>
            </w:r>
          </w:p>
        </w:tc>
      </w:tr>
      <w:tr w:rsidR="00EF1C54" w:rsidRPr="008255B5" w:rsidTr="00823D4D">
        <w:trPr>
          <w:trHeight w:val="454"/>
        </w:trPr>
        <w:tc>
          <w:tcPr>
            <w:tcW w:w="870"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SISFFIT005</w:t>
            </w:r>
          </w:p>
        </w:tc>
        <w:tc>
          <w:tcPr>
            <w:tcW w:w="3124" w:type="pct"/>
            <w:shd w:val="clear" w:color="auto" w:fill="FFFFFF" w:themeFill="background1"/>
            <w:vAlign w:val="center"/>
          </w:tcPr>
          <w:p w:rsidR="00EF1C54" w:rsidRPr="008255B5" w:rsidRDefault="00EF1C54" w:rsidP="00823D4D">
            <w:pPr>
              <w:spacing w:line="260" w:lineRule="auto"/>
              <w:ind w:left="10" w:hanging="10"/>
              <w:rPr>
                <w:rFonts w:eastAsia="Arial" w:cstheme="minorHAnsi"/>
                <w:color w:val="000000"/>
                <w:sz w:val="18"/>
                <w:szCs w:val="18"/>
              </w:rPr>
            </w:pPr>
            <w:r w:rsidRPr="008255B5">
              <w:rPr>
                <w:rFonts w:eastAsia="Arial" w:cstheme="minorHAnsi"/>
                <w:color w:val="000000"/>
                <w:sz w:val="18"/>
                <w:szCs w:val="18"/>
              </w:rPr>
              <w:t>Provide healthy eating information</w:t>
            </w:r>
          </w:p>
        </w:tc>
        <w:tc>
          <w:tcPr>
            <w:tcW w:w="1006"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Core</w:t>
            </w:r>
          </w:p>
        </w:tc>
      </w:tr>
      <w:tr w:rsidR="00EF1C54" w:rsidRPr="008255B5" w:rsidTr="00823D4D">
        <w:trPr>
          <w:trHeight w:val="454"/>
        </w:trPr>
        <w:tc>
          <w:tcPr>
            <w:tcW w:w="870"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br w:type="page"/>
            </w:r>
            <w:r w:rsidRPr="008255B5">
              <w:rPr>
                <w:rFonts w:eastAsia="Arial" w:cstheme="minorHAnsi"/>
                <w:color w:val="000000"/>
                <w:sz w:val="18"/>
                <w:szCs w:val="18"/>
                <w:shd w:val="clear" w:color="auto" w:fill="FFFFFF"/>
              </w:rPr>
              <w:t>SISFFIT014</w:t>
            </w:r>
          </w:p>
        </w:tc>
        <w:tc>
          <w:tcPr>
            <w:tcW w:w="3124" w:type="pct"/>
            <w:shd w:val="clear" w:color="auto" w:fill="FFFFFF" w:themeFill="background1"/>
            <w:vAlign w:val="center"/>
          </w:tcPr>
          <w:p w:rsidR="00EF1C54" w:rsidRPr="008255B5" w:rsidRDefault="00EF1C54" w:rsidP="00823D4D">
            <w:pPr>
              <w:spacing w:line="260" w:lineRule="auto"/>
              <w:ind w:left="10" w:hanging="10"/>
              <w:rPr>
                <w:rFonts w:eastAsia="Arial" w:cstheme="minorHAnsi"/>
                <w:color w:val="000000"/>
                <w:sz w:val="18"/>
                <w:szCs w:val="18"/>
              </w:rPr>
            </w:pPr>
            <w:r w:rsidRPr="008255B5">
              <w:rPr>
                <w:rFonts w:eastAsia="Arial" w:cstheme="minorHAnsi"/>
                <w:color w:val="000000"/>
                <w:sz w:val="18"/>
                <w:szCs w:val="18"/>
                <w:shd w:val="clear" w:color="auto" w:fill="FFFFFF"/>
              </w:rPr>
              <w:t>Instruct exercise to older clients</w:t>
            </w:r>
          </w:p>
        </w:tc>
        <w:tc>
          <w:tcPr>
            <w:tcW w:w="1006" w:type="pct"/>
            <w:shd w:val="clear" w:color="auto" w:fill="FFFFFF" w:themeFill="background1"/>
            <w:vAlign w:val="center"/>
          </w:tcPr>
          <w:p w:rsidR="00EF1C54" w:rsidRPr="008255B5" w:rsidRDefault="00EF1C54" w:rsidP="00823D4D">
            <w:pPr>
              <w:spacing w:line="260" w:lineRule="auto"/>
              <w:ind w:left="10" w:hanging="10"/>
              <w:jc w:val="center"/>
              <w:rPr>
                <w:rFonts w:eastAsia="Arial" w:cstheme="minorHAnsi"/>
                <w:color w:val="000000"/>
                <w:sz w:val="18"/>
                <w:szCs w:val="18"/>
              </w:rPr>
            </w:pPr>
            <w:r w:rsidRPr="008255B5">
              <w:rPr>
                <w:rFonts w:eastAsia="Arial" w:cstheme="minorHAnsi"/>
                <w:color w:val="000000"/>
                <w:sz w:val="18"/>
                <w:szCs w:val="18"/>
              </w:rPr>
              <w:t>Core</w:t>
            </w:r>
          </w:p>
        </w:tc>
      </w:tr>
    </w:tbl>
    <w:p w:rsidR="00EF1C54" w:rsidRDefault="00EF1C54" w:rsidP="00EF1C54">
      <w:pPr>
        <w:spacing w:before="160" w:after="240" w:line="240" w:lineRule="auto"/>
        <w:contextualSpacing/>
        <w:rPr>
          <w:i/>
          <w:sz w:val="20"/>
          <w:szCs w:val="20"/>
          <w:u w:val="single"/>
        </w:rPr>
      </w:pPr>
    </w:p>
    <w:p w:rsidR="00EF1C54" w:rsidRDefault="00EF1C54" w:rsidP="00EF1C54">
      <w:pPr>
        <w:spacing w:before="160" w:after="240" w:line="240" w:lineRule="auto"/>
        <w:contextualSpacing/>
        <w:rPr>
          <w:i/>
          <w:sz w:val="20"/>
          <w:szCs w:val="20"/>
        </w:rPr>
      </w:pPr>
      <w:r w:rsidRPr="008255B5">
        <w:rPr>
          <w:i/>
          <w:sz w:val="20"/>
          <w:szCs w:val="20"/>
        </w:rPr>
        <w:t>NOTE:  Elective units are subject to change prior to the commencement of the program.  This is to ensure alignment to current industry practices is at its optimum.</w:t>
      </w:r>
      <w:r w:rsidRPr="00223436">
        <w:rPr>
          <w:i/>
          <w:sz w:val="20"/>
          <w:szCs w:val="20"/>
        </w:rPr>
        <w:t xml:space="preserve"> </w:t>
      </w:r>
    </w:p>
    <w:p w:rsidR="00EF1C54" w:rsidRPr="00223436" w:rsidRDefault="00EF1C54" w:rsidP="00EF1C54">
      <w:pPr>
        <w:spacing w:before="160" w:after="240" w:line="240" w:lineRule="auto"/>
        <w:contextualSpacing/>
        <w:rPr>
          <w:i/>
          <w:sz w:val="20"/>
          <w:szCs w:val="20"/>
        </w:rPr>
      </w:pPr>
    </w:p>
    <w:p w:rsidR="00EF1C54" w:rsidRPr="00223436" w:rsidRDefault="00EF1C54" w:rsidP="00EF1C54">
      <w:pPr>
        <w:spacing w:after="117" w:line="266" w:lineRule="auto"/>
        <w:ind w:left="10" w:hanging="10"/>
        <w:rPr>
          <w:rFonts w:eastAsia="Arial" w:cs="Arial"/>
          <w:color w:val="000000"/>
        </w:rPr>
      </w:pPr>
      <w:r w:rsidRPr="00223436">
        <w:rPr>
          <w:rFonts w:eastAsia="Arial" w:cs="Arial"/>
          <w:b/>
          <w:color w:val="000000"/>
        </w:rPr>
        <w:t xml:space="preserve">LEARNING AND ASSESSMENT:     </w:t>
      </w:r>
      <w:r w:rsidRPr="00223436">
        <w:rPr>
          <w:rFonts w:eastAsia="Arial" w:cs="Arial"/>
          <w:color w:val="000000"/>
          <w:sz w:val="20"/>
        </w:rPr>
        <w:t xml:space="preserve">Program delivery will combine both class-based tasks and practical components in a real gym environment at the school.  This involves the delivery of a range of fitness programs to clients within the school community (students, teachers, and staff). </w:t>
      </w:r>
    </w:p>
    <w:p w:rsidR="00EF1C54" w:rsidRPr="00223436" w:rsidRDefault="00EF1C54" w:rsidP="00EF1C54">
      <w:pPr>
        <w:spacing w:after="78" w:line="266" w:lineRule="auto"/>
        <w:ind w:left="10" w:hanging="10"/>
        <w:rPr>
          <w:rFonts w:eastAsia="Arial" w:cs="Arial"/>
          <w:color w:val="000000"/>
        </w:rPr>
      </w:pPr>
      <w:r w:rsidRPr="00223436">
        <w:rPr>
          <w:rFonts w:eastAsia="Arial" w:cs="Arial"/>
          <w:color w:val="000000"/>
          <w:sz w:val="20"/>
        </w:rPr>
        <w:t xml:space="preserve">A range of teaching/learning strategies will be used to deliver the competencies. These include: </w:t>
      </w:r>
    </w:p>
    <w:p w:rsidR="00EF1C54" w:rsidRPr="00223436" w:rsidRDefault="00EF1C54" w:rsidP="007A51CB">
      <w:pPr>
        <w:numPr>
          <w:ilvl w:val="0"/>
          <w:numId w:val="38"/>
        </w:numPr>
        <w:spacing w:after="15" w:line="266" w:lineRule="auto"/>
        <w:ind w:hanging="705"/>
        <w:rPr>
          <w:rFonts w:eastAsia="Arial" w:cs="Arial"/>
          <w:color w:val="000000"/>
        </w:rPr>
      </w:pPr>
      <w:r w:rsidRPr="00223436">
        <w:rPr>
          <w:rFonts w:eastAsia="Arial" w:cs="Arial"/>
          <w:color w:val="000000"/>
          <w:sz w:val="20"/>
        </w:rPr>
        <w:t xml:space="preserve">Practical tasks </w:t>
      </w:r>
    </w:p>
    <w:p w:rsidR="00EF1C54" w:rsidRPr="00223436" w:rsidRDefault="00EF1C54" w:rsidP="007A51CB">
      <w:pPr>
        <w:numPr>
          <w:ilvl w:val="0"/>
          <w:numId w:val="38"/>
        </w:numPr>
        <w:spacing w:after="15" w:line="266" w:lineRule="auto"/>
        <w:ind w:hanging="705"/>
        <w:rPr>
          <w:rFonts w:eastAsia="Arial" w:cs="Arial"/>
          <w:color w:val="000000"/>
        </w:rPr>
      </w:pPr>
      <w:r w:rsidRPr="00223436">
        <w:rPr>
          <w:rFonts w:eastAsia="Arial" w:cs="Arial"/>
          <w:color w:val="000000"/>
          <w:sz w:val="20"/>
        </w:rPr>
        <w:t xml:space="preserve">Hands-on activities involving participants/clients </w:t>
      </w:r>
    </w:p>
    <w:p w:rsidR="00EF1C54" w:rsidRPr="00223436" w:rsidRDefault="00EF1C54" w:rsidP="007A51CB">
      <w:pPr>
        <w:numPr>
          <w:ilvl w:val="0"/>
          <w:numId w:val="38"/>
        </w:numPr>
        <w:spacing w:after="15" w:line="266" w:lineRule="auto"/>
        <w:ind w:hanging="705"/>
        <w:rPr>
          <w:rFonts w:eastAsia="Arial" w:cs="Arial"/>
          <w:color w:val="000000"/>
        </w:rPr>
      </w:pPr>
      <w:r w:rsidRPr="00223436">
        <w:rPr>
          <w:rFonts w:eastAsia="Arial" w:cs="Arial"/>
          <w:color w:val="000000"/>
          <w:sz w:val="20"/>
        </w:rPr>
        <w:t xml:space="preserve">Group work </w:t>
      </w:r>
    </w:p>
    <w:p w:rsidR="00EF1C54" w:rsidRPr="00223436" w:rsidRDefault="00EF1C54" w:rsidP="007A51CB">
      <w:pPr>
        <w:numPr>
          <w:ilvl w:val="0"/>
          <w:numId w:val="38"/>
        </w:numPr>
        <w:spacing w:after="15" w:line="266" w:lineRule="auto"/>
        <w:ind w:hanging="705"/>
        <w:rPr>
          <w:rFonts w:eastAsia="Arial" w:cs="Arial"/>
          <w:color w:val="000000"/>
        </w:rPr>
      </w:pPr>
      <w:r w:rsidRPr="00223436">
        <w:rPr>
          <w:rFonts w:eastAsia="Arial" w:cs="Arial"/>
          <w:color w:val="000000"/>
          <w:sz w:val="20"/>
        </w:rPr>
        <w:t xml:space="preserve">Practical experience within the school sporting programs and fitness facility </w:t>
      </w:r>
    </w:p>
    <w:p w:rsidR="00EF1C54" w:rsidRPr="00223436" w:rsidRDefault="00EF1C54" w:rsidP="007A51CB">
      <w:pPr>
        <w:numPr>
          <w:ilvl w:val="0"/>
          <w:numId w:val="38"/>
        </w:numPr>
        <w:spacing w:after="97" w:line="266" w:lineRule="auto"/>
        <w:ind w:hanging="705"/>
        <w:rPr>
          <w:rFonts w:eastAsia="Arial" w:cs="Arial"/>
          <w:color w:val="000000"/>
        </w:rPr>
      </w:pPr>
      <w:r w:rsidRPr="00223436">
        <w:rPr>
          <w:rFonts w:eastAsia="Arial" w:cs="Arial"/>
          <w:color w:val="000000"/>
          <w:sz w:val="20"/>
        </w:rPr>
        <w:t xml:space="preserve">Log Book of practical experience </w:t>
      </w:r>
    </w:p>
    <w:p w:rsidR="00EF1C54" w:rsidRPr="00223436" w:rsidRDefault="00EF1C54" w:rsidP="00EF1C54">
      <w:pPr>
        <w:spacing w:after="156" w:line="266" w:lineRule="auto"/>
        <w:ind w:left="10" w:hanging="10"/>
        <w:rPr>
          <w:rFonts w:eastAsia="Arial" w:cs="Arial"/>
          <w:color w:val="000000"/>
        </w:rPr>
      </w:pPr>
      <w:r w:rsidRPr="00223436">
        <w:rPr>
          <w:rFonts w:eastAsia="Arial" w:cs="Arial"/>
          <w:color w:val="000000"/>
          <w:sz w:val="20"/>
        </w:rPr>
        <w:t xml:space="preserve">Evidence contributing towards competency will be collected throughout the course.  This process allows a student’s competency to be assessed in a holistic approach that integrates a range of competencies. </w:t>
      </w:r>
    </w:p>
    <w:p w:rsidR="00EF1C54" w:rsidRPr="002A048C" w:rsidRDefault="00EF1C54" w:rsidP="002A048C">
      <w:pPr>
        <w:tabs>
          <w:tab w:val="right" w:pos="709"/>
        </w:tabs>
        <w:spacing w:after="155" w:line="271" w:lineRule="auto"/>
        <w:ind w:left="-5" w:right="6" w:hanging="10"/>
        <w:rPr>
          <w:rFonts w:eastAsia="Arial" w:cs="Arial"/>
          <w:color w:val="000000"/>
        </w:rPr>
      </w:pPr>
      <w:r w:rsidRPr="002A048C">
        <w:rPr>
          <w:rFonts w:eastAsia="Arial" w:cs="Arial"/>
          <w:b/>
          <w:color w:val="000000"/>
          <w:sz w:val="20"/>
        </w:rPr>
        <w:t xml:space="preserve">NOTE:  This program involves a mandatory ‘outside subject’ weekly component as follows: </w:t>
      </w:r>
    </w:p>
    <w:p w:rsidR="00EF1C54" w:rsidRPr="002A048C" w:rsidRDefault="00EF1C54" w:rsidP="002A048C">
      <w:pPr>
        <w:spacing w:after="159" w:line="271" w:lineRule="auto"/>
        <w:rPr>
          <w:rFonts w:eastAsia="Arial" w:cs="Arial"/>
          <w:color w:val="000000"/>
        </w:rPr>
      </w:pPr>
      <w:r w:rsidRPr="002A048C">
        <w:rPr>
          <w:rFonts w:eastAsia="Arial" w:cs="Arial"/>
          <w:b/>
          <w:color w:val="000000"/>
          <w:sz w:val="20"/>
        </w:rPr>
        <w:t>TERM 5</w:t>
      </w:r>
      <w:r w:rsidRPr="002A048C">
        <w:rPr>
          <w:rFonts w:eastAsia="Arial" w:cs="Arial"/>
          <w:color w:val="000000"/>
          <w:sz w:val="20"/>
        </w:rPr>
        <w:t xml:space="preserve">:  60 minutes per week across a minimum of 5 consecutive weeks – delivering fitness programs and services to an adult client, undertaken at the school gym or an alternate fitness facility sourced by the school. </w:t>
      </w:r>
    </w:p>
    <w:p w:rsidR="00EF1C54" w:rsidRPr="00223436" w:rsidRDefault="00EF1C54" w:rsidP="002A048C">
      <w:pPr>
        <w:spacing w:after="126" w:line="271" w:lineRule="auto"/>
        <w:rPr>
          <w:rFonts w:eastAsia="Arial" w:cs="Arial"/>
          <w:color w:val="000000"/>
        </w:rPr>
      </w:pPr>
      <w:r w:rsidRPr="002A048C">
        <w:rPr>
          <w:rFonts w:eastAsia="Arial" w:cs="Arial"/>
          <w:b/>
          <w:color w:val="000000"/>
          <w:sz w:val="20"/>
        </w:rPr>
        <w:t>TERM 6</w:t>
      </w:r>
      <w:r w:rsidRPr="002A048C">
        <w:rPr>
          <w:rFonts w:eastAsia="Arial" w:cs="Arial"/>
          <w:color w:val="000000"/>
          <w:sz w:val="20"/>
        </w:rPr>
        <w:t>:  A minimum of one session (60 minutes) – delivering a gentle exercise session to an older adult client (age 50+), undertaken at the school gym or an alternate fitness facility sourced by the school</w:t>
      </w:r>
      <w:r w:rsidRPr="00223436">
        <w:rPr>
          <w:rFonts w:eastAsia="Arial" w:cs="Arial"/>
          <w:b/>
          <w:color w:val="000000"/>
          <w:sz w:val="20"/>
        </w:rPr>
        <w:t xml:space="preserve">. </w:t>
      </w:r>
    </w:p>
    <w:p w:rsidR="00EF1C54" w:rsidRPr="00223436" w:rsidRDefault="00EF1C54" w:rsidP="00EF1C54">
      <w:pPr>
        <w:spacing w:after="126" w:line="271" w:lineRule="auto"/>
        <w:ind w:left="-5" w:right="6" w:hanging="10"/>
        <w:rPr>
          <w:rFonts w:eastAsia="Arial" w:cs="Arial"/>
          <w:color w:val="000000"/>
        </w:rPr>
      </w:pPr>
      <w:r w:rsidRPr="00223436">
        <w:rPr>
          <w:rFonts w:eastAsia="Arial" w:cs="Arial"/>
          <w:b/>
          <w:color w:val="000000"/>
          <w:sz w:val="20"/>
        </w:rPr>
        <w:t xml:space="preserve">All other practical experiences have been timetabled within class time. Students will keep a Log Book of these practical experiences (approximately 40 hours). </w:t>
      </w:r>
    </w:p>
    <w:p w:rsidR="00EF1C54" w:rsidRPr="002A048C" w:rsidRDefault="00EF1C54" w:rsidP="002A048C">
      <w:pPr>
        <w:spacing w:after="74" w:line="266" w:lineRule="auto"/>
        <w:ind w:left="10" w:hanging="10"/>
        <w:rPr>
          <w:rFonts w:eastAsia="Arial" w:cs="Arial"/>
          <w:color w:val="000000"/>
          <w:sz w:val="20"/>
        </w:rPr>
      </w:pPr>
      <w:r w:rsidRPr="00223436">
        <w:rPr>
          <w:rFonts w:eastAsia="Arial" w:cs="Arial"/>
          <w:b/>
          <w:color w:val="000000"/>
        </w:rPr>
        <w:t>PATHWAYS</w:t>
      </w:r>
      <w:r w:rsidR="002A048C" w:rsidRPr="00223436">
        <w:rPr>
          <w:rFonts w:eastAsia="Arial" w:cs="Arial"/>
          <w:b/>
          <w:color w:val="000000"/>
        </w:rPr>
        <w:t xml:space="preserve">: </w:t>
      </w:r>
      <w:r w:rsidR="002A048C">
        <w:rPr>
          <w:rFonts w:eastAsia="Arial" w:cs="Arial"/>
          <w:b/>
          <w:color w:val="000000"/>
        </w:rPr>
        <w:tab/>
      </w:r>
      <w:r w:rsidR="002A048C" w:rsidRPr="00223436">
        <w:rPr>
          <w:rFonts w:eastAsia="Arial" w:cs="Arial"/>
          <w:b/>
          <w:color w:val="000000"/>
        </w:rPr>
        <w:t>students seeking to enter the fitness industry and/or entry into University will predominantly use the Certificate III in Fitness</w:t>
      </w:r>
      <w:r w:rsidRPr="00223436">
        <w:rPr>
          <w:rFonts w:eastAsia="Arial" w:cs="Arial"/>
          <w:color w:val="000000"/>
          <w:sz w:val="20"/>
        </w:rPr>
        <w:t xml:space="preserve">. For example: </w:t>
      </w:r>
    </w:p>
    <w:p w:rsidR="00EF1C54" w:rsidRPr="00223436" w:rsidRDefault="00EF1C54" w:rsidP="002A048C">
      <w:pPr>
        <w:numPr>
          <w:ilvl w:val="0"/>
          <w:numId w:val="38"/>
        </w:numPr>
        <w:spacing w:after="15" w:line="266" w:lineRule="auto"/>
        <w:ind w:hanging="705"/>
        <w:rPr>
          <w:rFonts w:eastAsia="Arial" w:cs="Arial"/>
          <w:color w:val="000000"/>
        </w:rPr>
      </w:pPr>
      <w:r w:rsidRPr="00223436">
        <w:rPr>
          <w:rFonts w:eastAsia="Arial" w:cs="Arial"/>
          <w:color w:val="000000"/>
          <w:sz w:val="20"/>
        </w:rPr>
        <w:t xml:space="preserve">Exercise Physiologist </w:t>
      </w:r>
    </w:p>
    <w:p w:rsidR="00EF1C54" w:rsidRPr="00223436" w:rsidRDefault="00EF1C54" w:rsidP="002A048C">
      <w:pPr>
        <w:numPr>
          <w:ilvl w:val="0"/>
          <w:numId w:val="38"/>
        </w:numPr>
        <w:spacing w:after="15" w:line="266" w:lineRule="auto"/>
        <w:ind w:hanging="705"/>
        <w:rPr>
          <w:rFonts w:eastAsia="Arial" w:cs="Arial"/>
          <w:color w:val="000000"/>
        </w:rPr>
      </w:pPr>
      <w:r w:rsidRPr="00223436">
        <w:rPr>
          <w:rFonts w:eastAsia="Arial" w:cs="Arial"/>
          <w:color w:val="000000"/>
          <w:sz w:val="20"/>
        </w:rPr>
        <w:t xml:space="preserve">Teacher – Physical Education </w:t>
      </w:r>
    </w:p>
    <w:p w:rsidR="00EF1C54" w:rsidRPr="00223436" w:rsidRDefault="00EF1C54" w:rsidP="002A048C">
      <w:pPr>
        <w:numPr>
          <w:ilvl w:val="0"/>
          <w:numId w:val="38"/>
        </w:numPr>
        <w:spacing w:after="138" w:line="266" w:lineRule="auto"/>
        <w:ind w:hanging="705"/>
        <w:rPr>
          <w:rFonts w:eastAsia="Arial" w:cs="Arial"/>
          <w:color w:val="000000"/>
        </w:rPr>
      </w:pPr>
      <w:r w:rsidRPr="00223436">
        <w:rPr>
          <w:rFonts w:eastAsia="Arial" w:cs="Arial"/>
          <w:color w:val="000000"/>
          <w:sz w:val="20"/>
        </w:rPr>
        <w:t xml:space="preserve">Sport Scientist </w:t>
      </w:r>
    </w:p>
    <w:p w:rsidR="00EF1C54" w:rsidRPr="00223436" w:rsidRDefault="00EF1C54" w:rsidP="00EF1C54">
      <w:pPr>
        <w:spacing w:after="46" w:line="271" w:lineRule="auto"/>
        <w:ind w:left="-5" w:right="6" w:hanging="10"/>
        <w:rPr>
          <w:rFonts w:eastAsia="Arial" w:cs="Arial"/>
          <w:color w:val="000000"/>
        </w:rPr>
      </w:pPr>
      <w:r w:rsidRPr="00223436">
        <w:rPr>
          <w:rFonts w:eastAsia="Arial" w:cs="Arial"/>
          <w:b/>
          <w:color w:val="000000"/>
          <w:sz w:val="20"/>
        </w:rPr>
        <w:t xml:space="preserve">Students eligible for an Australian Tertiary Admission Rank (ATAR) may be able to use their completed Certificate III to contribute towards their ATAR. For further information please visit </w:t>
      </w:r>
      <w:r w:rsidRPr="00223436">
        <w:rPr>
          <w:rFonts w:eastAsia="Arial" w:cs="Arial"/>
          <w:b/>
          <w:color w:val="0000FF"/>
          <w:sz w:val="20"/>
        </w:rPr>
        <w:t>www.qcaa.qld.edu.au/senior/new-snr-assessment-te/tertiary-entrance</w:t>
      </w:r>
      <w:r w:rsidRPr="00223436">
        <w:rPr>
          <w:rFonts w:eastAsia="Arial" w:cs="Arial"/>
          <w:b/>
          <w:color w:val="000000"/>
          <w:sz w:val="20"/>
        </w:rPr>
        <w:t xml:space="preserve">  </w:t>
      </w:r>
    </w:p>
    <w:p w:rsidR="00EF1C54" w:rsidRPr="00223436" w:rsidRDefault="00EF1C54" w:rsidP="00EF1C54">
      <w:pPr>
        <w:spacing w:after="15" w:line="266" w:lineRule="auto"/>
        <w:ind w:left="10" w:hanging="10"/>
        <w:rPr>
          <w:rFonts w:eastAsia="Arial" w:cs="Arial"/>
          <w:color w:val="000000"/>
        </w:rPr>
      </w:pPr>
      <w:r w:rsidRPr="00223436">
        <w:rPr>
          <w:rFonts w:eastAsia="Arial" w:cs="Arial"/>
          <w:color w:val="000000"/>
          <w:sz w:val="20"/>
        </w:rPr>
        <w:t>Students may also choose to continue their study by completing the Certificate IV in Fitness.</w:t>
      </w:r>
      <w:r w:rsidRPr="00223436">
        <w:rPr>
          <w:rFonts w:eastAsia="Arial" w:cs="Arial"/>
          <w:b/>
          <w:color w:val="000000"/>
        </w:rPr>
        <w:t xml:space="preserve"> </w:t>
      </w:r>
    </w:p>
    <w:p w:rsidR="00EF1C54" w:rsidRPr="00223436" w:rsidRDefault="00EF1C54" w:rsidP="00EF1C54">
      <w:pPr>
        <w:spacing w:after="4"/>
        <w:rPr>
          <w:rFonts w:eastAsia="Arial" w:cs="Arial"/>
          <w:color w:val="000000"/>
        </w:rPr>
      </w:pPr>
      <w:r w:rsidRPr="00223436">
        <w:rPr>
          <w:rFonts w:eastAsia="Arial" w:cs="Arial"/>
          <w:b/>
          <w:color w:val="000000"/>
        </w:rPr>
        <w:t xml:space="preserve"> </w:t>
      </w:r>
    </w:p>
    <w:p w:rsidR="00EF1C54" w:rsidRPr="00223436" w:rsidRDefault="00EF1C54" w:rsidP="00EF1C54">
      <w:pPr>
        <w:spacing w:after="83"/>
        <w:ind w:left="-5" w:hanging="10"/>
        <w:rPr>
          <w:rFonts w:eastAsia="Arial" w:cs="Arial"/>
          <w:color w:val="000000"/>
        </w:rPr>
      </w:pPr>
      <w:r w:rsidRPr="00223436">
        <w:rPr>
          <w:rFonts w:eastAsia="Arial" w:cs="Arial"/>
          <w:b/>
          <w:color w:val="000000"/>
        </w:rPr>
        <w:t xml:space="preserve">FEES </w:t>
      </w:r>
    </w:p>
    <w:p w:rsidR="00EF1C54" w:rsidRPr="00223436" w:rsidRDefault="00EF1C54" w:rsidP="00EF1C54">
      <w:pPr>
        <w:spacing w:after="126" w:line="256" w:lineRule="auto"/>
        <w:ind w:left="-5" w:hanging="10"/>
        <w:rPr>
          <w:rFonts w:eastAsia="Arial" w:cs="Arial"/>
          <w:color w:val="000000"/>
        </w:rPr>
      </w:pPr>
      <w:r w:rsidRPr="008255B5">
        <w:rPr>
          <w:rFonts w:eastAsia="Arial" w:cs="Arial"/>
          <w:b/>
          <w:i/>
          <w:color w:val="000000"/>
        </w:rPr>
        <w:t>NOTE: A $100.00 deposit is required by the end of week 6 term 4 to secure your enrolment</w:t>
      </w:r>
      <w:r w:rsidRPr="00223436">
        <w:rPr>
          <w:rFonts w:eastAsia="Arial" w:cs="Arial"/>
          <w:b/>
          <w:i/>
          <w:color w:val="000000"/>
        </w:rPr>
        <w:t xml:space="preserve"> </w:t>
      </w:r>
    </w:p>
    <w:p w:rsidR="00EF1C54" w:rsidRPr="00223436" w:rsidRDefault="00EF1C54" w:rsidP="002A048C">
      <w:pPr>
        <w:numPr>
          <w:ilvl w:val="0"/>
          <w:numId w:val="38"/>
        </w:numPr>
        <w:spacing w:after="71" w:line="254" w:lineRule="auto"/>
        <w:ind w:hanging="705"/>
        <w:rPr>
          <w:rFonts w:eastAsia="Arial" w:cs="Arial"/>
          <w:color w:val="000000"/>
        </w:rPr>
      </w:pPr>
      <w:r w:rsidRPr="00223436">
        <w:rPr>
          <w:rFonts w:eastAsia="Arial" w:cs="Arial"/>
          <w:b/>
          <w:i/>
          <w:color w:val="000000"/>
        </w:rPr>
        <w:t xml:space="preserve">$290.00 = </w:t>
      </w:r>
      <w:r w:rsidRPr="00223436">
        <w:rPr>
          <w:rFonts w:eastAsia="Arial" w:cs="Arial"/>
          <w:i/>
          <w:color w:val="000000"/>
        </w:rPr>
        <w:t xml:space="preserve">Binnacle Training Fee </w:t>
      </w:r>
    </w:p>
    <w:p w:rsidR="00EF1C54" w:rsidRPr="00223436" w:rsidRDefault="00EF1C54" w:rsidP="002A048C">
      <w:pPr>
        <w:numPr>
          <w:ilvl w:val="0"/>
          <w:numId w:val="38"/>
        </w:numPr>
        <w:spacing w:after="71" w:line="254" w:lineRule="auto"/>
        <w:ind w:hanging="705"/>
        <w:rPr>
          <w:rFonts w:eastAsia="Arial" w:cs="Arial"/>
          <w:color w:val="000000"/>
        </w:rPr>
      </w:pPr>
      <w:r w:rsidRPr="00223436">
        <w:rPr>
          <w:rFonts w:eastAsia="Arial" w:cs="Arial"/>
          <w:b/>
          <w:i/>
          <w:color w:val="000000"/>
        </w:rPr>
        <w:t xml:space="preserve">$40.00 = </w:t>
      </w:r>
      <w:r w:rsidRPr="00223436">
        <w:rPr>
          <w:rFonts w:eastAsia="Arial" w:cs="Arial"/>
          <w:i/>
          <w:color w:val="000000"/>
        </w:rPr>
        <w:t xml:space="preserve">First Aid Certificate costs  </w:t>
      </w:r>
    </w:p>
    <w:p w:rsidR="00EF1C54" w:rsidRPr="00223436" w:rsidRDefault="00EF1C54" w:rsidP="002A048C">
      <w:pPr>
        <w:numPr>
          <w:ilvl w:val="0"/>
          <w:numId w:val="38"/>
        </w:numPr>
        <w:spacing w:after="74" w:line="256" w:lineRule="auto"/>
        <w:ind w:hanging="705"/>
        <w:rPr>
          <w:rFonts w:eastAsia="Arial" w:cs="Arial"/>
          <w:color w:val="000000"/>
        </w:rPr>
      </w:pPr>
      <w:r w:rsidRPr="00223436">
        <w:rPr>
          <w:rFonts w:eastAsia="Arial" w:cs="Arial"/>
          <w:b/>
          <w:i/>
          <w:color w:val="000000"/>
        </w:rPr>
        <w:t xml:space="preserve">$ 40.00 Year 11 = </w:t>
      </w:r>
      <w:r w:rsidRPr="00223436">
        <w:rPr>
          <w:rFonts w:eastAsia="Arial" w:cs="Arial"/>
          <w:i/>
          <w:color w:val="000000"/>
        </w:rPr>
        <w:t xml:space="preserve">Training shirt </w:t>
      </w:r>
    </w:p>
    <w:p w:rsidR="00EF1C54" w:rsidRPr="00223436" w:rsidRDefault="00EF1C54" w:rsidP="002A048C">
      <w:pPr>
        <w:numPr>
          <w:ilvl w:val="0"/>
          <w:numId w:val="38"/>
        </w:numPr>
        <w:spacing w:after="71" w:line="254" w:lineRule="auto"/>
        <w:ind w:hanging="705"/>
        <w:rPr>
          <w:rFonts w:eastAsia="Arial" w:cs="Arial"/>
          <w:color w:val="000000"/>
        </w:rPr>
      </w:pPr>
      <w:r w:rsidRPr="00223436">
        <w:rPr>
          <w:rFonts w:eastAsia="Arial" w:cs="Arial"/>
          <w:b/>
          <w:i/>
          <w:color w:val="000000"/>
        </w:rPr>
        <w:t xml:space="preserve">$ 40.00 Year 12 = </w:t>
      </w:r>
      <w:r w:rsidRPr="00223436">
        <w:rPr>
          <w:rFonts w:eastAsia="Arial" w:cs="Arial"/>
          <w:i/>
          <w:color w:val="000000"/>
        </w:rPr>
        <w:t xml:space="preserve">Excursions to other outside venues to participate in and to conduct fitness activities.   </w:t>
      </w:r>
    </w:p>
    <w:p w:rsidR="00EF1C54" w:rsidRPr="00223436" w:rsidRDefault="00EF1C54" w:rsidP="00EF1C54">
      <w:pPr>
        <w:spacing w:after="71" w:line="254" w:lineRule="auto"/>
        <w:ind w:left="10" w:hanging="10"/>
        <w:rPr>
          <w:rFonts w:eastAsia="Arial" w:cs="Arial"/>
          <w:color w:val="000000"/>
        </w:rPr>
      </w:pPr>
      <w:r w:rsidRPr="00223436">
        <w:rPr>
          <w:rFonts w:eastAsia="Arial" w:cs="Arial"/>
          <w:i/>
          <w:color w:val="000000"/>
        </w:rPr>
        <w:t xml:space="preserve">Final cost and notification of these excursions will be included in the permission letter which will be distributed closer to the excursion date. </w:t>
      </w:r>
    </w:p>
    <w:p w:rsidR="00EF1C54" w:rsidRPr="00223436" w:rsidRDefault="00EF1C54" w:rsidP="00EF1C54">
      <w:pPr>
        <w:spacing w:after="6" w:line="254" w:lineRule="auto"/>
        <w:ind w:left="10" w:hanging="10"/>
        <w:rPr>
          <w:rFonts w:eastAsia="Arial" w:cs="Arial"/>
          <w:color w:val="000000"/>
        </w:rPr>
      </w:pPr>
      <w:r w:rsidRPr="00223436">
        <w:rPr>
          <w:rFonts w:eastAsia="Arial" w:cs="Arial"/>
          <w:i/>
          <w:color w:val="000000"/>
        </w:rPr>
        <w:t xml:space="preserve">All texts and reprographics are provided by the school. </w:t>
      </w:r>
    </w:p>
    <w:p w:rsidR="00EF1C54" w:rsidRPr="00223436" w:rsidRDefault="00EF1C54" w:rsidP="00EF1C54">
      <w:pPr>
        <w:spacing w:after="4"/>
        <w:ind w:left="766"/>
        <w:rPr>
          <w:rFonts w:eastAsia="Arial" w:cs="Arial"/>
          <w:color w:val="000000"/>
        </w:rPr>
      </w:pPr>
      <w:r w:rsidRPr="00223436">
        <w:rPr>
          <w:rFonts w:eastAsia="Arial" w:cs="Arial"/>
          <w:color w:val="000000"/>
        </w:rPr>
        <w:t xml:space="preserve"> </w:t>
      </w:r>
    </w:p>
    <w:p w:rsidR="00EF1C54" w:rsidRPr="00223436" w:rsidRDefault="00EF1C54" w:rsidP="00EF1C54">
      <w:pPr>
        <w:spacing w:after="4" w:line="267" w:lineRule="auto"/>
        <w:ind w:left="-5" w:right="42" w:hanging="10"/>
        <w:jc w:val="both"/>
        <w:rPr>
          <w:rFonts w:eastAsia="Arial" w:cs="Arial"/>
          <w:color w:val="000000"/>
        </w:rPr>
      </w:pPr>
      <w:r w:rsidRPr="00223436">
        <w:rPr>
          <w:rFonts w:eastAsia="Arial" w:cs="Arial"/>
          <w:b/>
          <w:color w:val="000000"/>
        </w:rPr>
        <w:t>FURTHER INFORMATION:</w:t>
      </w:r>
      <w:r w:rsidRPr="00223436">
        <w:rPr>
          <w:rFonts w:eastAsia="Arial" w:cs="Arial"/>
          <w:color w:val="000000"/>
        </w:rPr>
        <w:t xml:space="preserve">   Contact the Health &amp; Physical Education HOD, Matthew Grieger – mgrie10@eq.edu.au.   For information regarding support services and other general VET information please contact the VET HOD, Mrs Sally Munns – smunn6@eq.edu.au.  Students will be provided with access to a Student VET Handbook. </w:t>
      </w:r>
    </w:p>
    <w:p w:rsidR="00EF1C54" w:rsidRPr="00223436" w:rsidRDefault="00EF1C54" w:rsidP="00EF1C54">
      <w:pPr>
        <w:spacing w:after="2"/>
        <w:rPr>
          <w:rFonts w:eastAsia="Arial" w:cs="Arial"/>
          <w:color w:val="000000"/>
        </w:rPr>
      </w:pPr>
      <w:r w:rsidRPr="00223436">
        <w:rPr>
          <w:rFonts w:eastAsia="Arial" w:cs="Arial"/>
          <w:color w:val="000000"/>
        </w:rPr>
        <w:t xml:space="preserve"> </w:t>
      </w:r>
    </w:p>
    <w:p w:rsidR="00EF1C54" w:rsidRPr="00223436" w:rsidRDefault="00EF1C54" w:rsidP="00EF1C54">
      <w:pPr>
        <w:spacing w:after="4" w:line="267" w:lineRule="auto"/>
        <w:ind w:left="-5" w:right="42" w:hanging="10"/>
        <w:jc w:val="both"/>
        <w:rPr>
          <w:rFonts w:eastAsia="Arial" w:cs="Arial"/>
          <w:color w:val="000000"/>
        </w:rPr>
      </w:pPr>
      <w:r w:rsidRPr="00223436">
        <w:rPr>
          <w:rFonts w:eastAsia="Arial" w:cs="Arial"/>
          <w:b/>
          <w:color w:val="000000"/>
        </w:rPr>
        <w:t xml:space="preserve">ENROLMENT POLICY:  </w:t>
      </w:r>
      <w:r w:rsidRPr="00223436">
        <w:rPr>
          <w:rFonts w:eastAsia="Arial" w:cs="Arial"/>
          <w:color w:val="000000"/>
        </w:rPr>
        <w:t xml:space="preserve">We will accept all new enrolments within Semester 1 of Year 11 upon assessment by your Fitness Teacher.  The School will not give refunds following withdrawal from the course after Semester 1 of Year 11.  Any school fees still owing must be paid prior to your enrolment in this subject. </w:t>
      </w:r>
    </w:p>
    <w:p w:rsidR="00EF1C54" w:rsidRPr="00223436" w:rsidRDefault="00EF1C54" w:rsidP="00EF1C54">
      <w:pPr>
        <w:spacing w:after="4"/>
        <w:rPr>
          <w:rFonts w:eastAsia="Arial" w:cs="Arial"/>
          <w:color w:val="000000"/>
        </w:rPr>
      </w:pPr>
      <w:r w:rsidRPr="00223436">
        <w:rPr>
          <w:rFonts w:eastAsia="Arial" w:cs="Arial"/>
          <w:b/>
          <w:color w:val="000000"/>
        </w:rPr>
        <w:t xml:space="preserve"> </w:t>
      </w:r>
    </w:p>
    <w:p w:rsidR="00EF1C54" w:rsidRPr="00223436" w:rsidRDefault="00EF1C54" w:rsidP="00EF1C54">
      <w:pPr>
        <w:spacing w:after="3" w:line="260" w:lineRule="auto"/>
        <w:ind w:left="-5" w:right="46" w:hanging="10"/>
        <w:rPr>
          <w:rFonts w:eastAsia="Arial" w:cs="Arial"/>
          <w:color w:val="000000"/>
        </w:rPr>
      </w:pPr>
      <w:r w:rsidRPr="00223436">
        <w:rPr>
          <w:rFonts w:eastAsia="Arial" w:cs="Arial"/>
          <w:b/>
          <w:color w:val="000000"/>
        </w:rPr>
        <w:t>MINIMUM SUGGESTED WEEKLY HOMEWORK TIME:</w:t>
      </w:r>
      <w:r w:rsidRPr="00223436">
        <w:rPr>
          <w:rFonts w:eastAsia="Arial" w:cs="Arial"/>
          <w:color w:val="000000"/>
        </w:rPr>
        <w:t xml:space="preserve"> ½ - 1 hour to complete the competencies for each module.  </w:t>
      </w:r>
    </w:p>
    <w:p w:rsidR="00EF1C54" w:rsidRPr="00223436" w:rsidRDefault="00EF1C54" w:rsidP="00EF1C54">
      <w:pPr>
        <w:spacing w:after="4"/>
        <w:rPr>
          <w:rFonts w:eastAsia="Arial" w:cs="Arial"/>
          <w:color w:val="000000"/>
        </w:rPr>
      </w:pPr>
      <w:r w:rsidRPr="00223436">
        <w:rPr>
          <w:rFonts w:eastAsia="Arial" w:cs="Arial"/>
          <w:color w:val="000000"/>
        </w:rPr>
        <w:t xml:space="preserve"> </w:t>
      </w:r>
    </w:p>
    <w:p w:rsidR="00EF1C54" w:rsidRPr="00223436" w:rsidRDefault="00EF1C54" w:rsidP="00EF1C54">
      <w:pPr>
        <w:spacing w:after="2" w:line="260" w:lineRule="auto"/>
        <w:ind w:left="-5" w:right="46" w:hanging="10"/>
        <w:rPr>
          <w:rFonts w:eastAsia="Arial" w:cs="Arial"/>
          <w:color w:val="000000"/>
        </w:rPr>
      </w:pPr>
      <w:r w:rsidRPr="00223436">
        <w:rPr>
          <w:rFonts w:eastAsia="Arial" w:cs="Arial"/>
          <w:b/>
          <w:color w:val="000000"/>
        </w:rPr>
        <w:t>SERVICE AGREEMENT:</w:t>
      </w:r>
      <w:r w:rsidRPr="00223436">
        <w:rPr>
          <w:rFonts w:eastAsia="Arial" w:cs="Arial"/>
          <w:color w:val="000000"/>
        </w:rPr>
        <w:t xml:space="preserve">   This is a two year course.  The RTO guarantees that the student will be provided with every opportunity to complete the certificate as per the rights and obligations outlined in the enrolment process and information handbooks provided.  If the certificate course is no longer offered through our school, arrangements will be made for the student to complete this through an outside RTO.  Students successfully achieving all qualifications requirements will be provided with a Qualification Certificate and record of results.  Students who achieve at least one unit (but not the full qualification) will receive a Statement of Attainment.  We have a complaints and appeals policy available of the Pioneer SHS website.   </w:t>
      </w:r>
    </w:p>
    <w:p w:rsidR="00EF1C54" w:rsidRPr="00223436" w:rsidRDefault="00EF1C54" w:rsidP="00EF1C54">
      <w:pPr>
        <w:spacing w:after="4"/>
        <w:rPr>
          <w:rFonts w:eastAsia="Arial" w:cs="Arial"/>
          <w:color w:val="000000"/>
        </w:rPr>
      </w:pPr>
      <w:r w:rsidRPr="00223436">
        <w:rPr>
          <w:rFonts w:eastAsia="Arial" w:cs="Arial"/>
          <w:color w:val="000000"/>
        </w:rPr>
        <w:t xml:space="preserve"> </w:t>
      </w:r>
    </w:p>
    <w:p w:rsidR="00EF1C54" w:rsidRPr="00223436" w:rsidRDefault="00EF1C54" w:rsidP="00EF1C54">
      <w:pPr>
        <w:spacing w:line="260" w:lineRule="auto"/>
        <w:ind w:left="-5" w:right="-561" w:hanging="10"/>
        <w:rPr>
          <w:rFonts w:eastAsia="Arial" w:cs="Arial"/>
          <w:color w:val="000000"/>
        </w:rPr>
      </w:pPr>
      <w:r w:rsidRPr="00223436">
        <w:rPr>
          <w:rFonts w:eastAsia="Arial" w:cs="Arial"/>
          <w:color w:val="000000"/>
        </w:rPr>
        <w:t xml:space="preserve">Correct at time of publication </w:t>
      </w:r>
      <w:r w:rsidR="005B6F69">
        <w:rPr>
          <w:rFonts w:eastAsia="Arial" w:cs="Arial"/>
          <w:color w:val="000000"/>
        </w:rPr>
        <w:t>(</w:t>
      </w:r>
      <w:r w:rsidRPr="00EF1C54">
        <w:rPr>
          <w:rFonts w:eastAsia="Arial" w:cs="Arial"/>
          <w:color w:val="000000"/>
        </w:rPr>
        <w:t xml:space="preserve">8 August 2019) but subject to </w:t>
      </w:r>
      <w:r>
        <w:rPr>
          <w:rFonts w:eastAsia="Arial" w:cs="Arial"/>
          <w:color w:val="000000"/>
        </w:rPr>
        <w:t>ch</w:t>
      </w:r>
      <w:r w:rsidRPr="00EF1C54">
        <w:rPr>
          <w:rFonts w:eastAsia="Arial" w:cs="Arial"/>
          <w:color w:val="000000"/>
        </w:rPr>
        <w:t>ange.</w:t>
      </w:r>
      <w:r w:rsidRPr="00223436">
        <w:rPr>
          <w:rFonts w:eastAsia="Arial" w:cs="Arial"/>
          <w:color w:val="000000"/>
        </w:rPr>
        <w:t xml:space="preserve">  </w:t>
      </w:r>
      <w:r w:rsidRPr="00223436">
        <w:rPr>
          <w:rFonts w:eastAsia="Arial" w:cs="Arial"/>
          <w:b/>
          <w:i/>
          <w:color w:val="000000"/>
          <w:sz w:val="28"/>
        </w:rPr>
        <w:t xml:space="preserve"> </w:t>
      </w:r>
    </w:p>
    <w:p w:rsidR="00EF1C54" w:rsidRPr="00223436" w:rsidRDefault="00EF1C54" w:rsidP="00EF1C54">
      <w:pPr>
        <w:spacing w:after="4"/>
        <w:rPr>
          <w:rFonts w:eastAsia="Arial" w:cs="Arial"/>
          <w:color w:val="000000"/>
        </w:rPr>
      </w:pPr>
      <w:r w:rsidRPr="00223436">
        <w:rPr>
          <w:rFonts w:eastAsia="Arial" w:cs="Arial"/>
          <w:color w:val="000000"/>
        </w:rPr>
        <w:t xml:space="preserve"> </w:t>
      </w:r>
    </w:p>
    <w:p w:rsidR="00EF1C54" w:rsidRDefault="00EF1C54" w:rsidP="00EF1C54"/>
    <w:p w:rsidR="00425207" w:rsidRDefault="00425207" w:rsidP="00EF1C54">
      <w:pPr>
        <w:pStyle w:val="Heading3"/>
        <w:tabs>
          <w:tab w:val="center" w:pos="7474"/>
        </w:tabs>
        <w:spacing w:after="5" w:line="259" w:lineRule="auto"/>
      </w:pPr>
    </w:p>
    <w:p w:rsidR="0074696D" w:rsidRDefault="0074696D" w:rsidP="0074696D">
      <w:pPr>
        <w:pStyle w:val="BodyText"/>
        <w:spacing w:before="120"/>
        <w:rPr>
          <w:noProof/>
        </w:rPr>
      </w:pPr>
    </w:p>
    <w:sectPr w:rsidR="0074696D" w:rsidSect="00EF1C54">
      <w:headerReference w:type="even" r:id="rId49"/>
      <w:headerReference w:type="default" r:id="rId50"/>
      <w:footerReference w:type="even" r:id="rId51"/>
      <w:footerReference w:type="default" r:id="rId52"/>
      <w:headerReference w:type="first" r:id="rId53"/>
      <w:footerReference w:type="first" r:id="rId54"/>
      <w:pgSz w:w="11900" w:h="16840"/>
      <w:pgMar w:top="1173" w:right="1404" w:bottom="1823" w:left="1418"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80" w:rsidRDefault="006F6C80">
      <w:r>
        <w:separator/>
      </w:r>
    </w:p>
    <w:p w:rsidR="006F6C80" w:rsidRDefault="006F6C80"/>
  </w:endnote>
  <w:endnote w:type="continuationSeparator" w:id="0">
    <w:p w:rsidR="006F6C80" w:rsidRDefault="006F6C80">
      <w:r>
        <w:continuationSeparator/>
      </w:r>
    </w:p>
    <w:p w:rsidR="006F6C80" w:rsidRDefault="006F6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CellMar>
        <w:left w:w="0" w:type="dxa"/>
        <w:right w:w="0" w:type="dxa"/>
      </w:tblCellMar>
      <w:tblLook w:val="0600" w:firstRow="0" w:lastRow="0" w:firstColumn="0" w:lastColumn="0" w:noHBand="1" w:noVBand="1"/>
    </w:tblPr>
    <w:tblGrid>
      <w:gridCol w:w="5397"/>
      <w:gridCol w:w="5397"/>
    </w:tblGrid>
    <w:tr w:rsidR="005125CA" w:rsidTr="00912897">
      <w:tc>
        <w:tcPr>
          <w:tcW w:w="2500" w:type="pct"/>
          <w:noWrap/>
          <w:hideMark/>
        </w:tcPr>
        <w:sdt>
          <w:sdtPr>
            <w:alias w:val="Document title"/>
            <w:tag w:val="Document title"/>
            <w:id w:val="-1882401684"/>
            <w:showingPlcHdr/>
            <w:dataBinding w:prefixMappings="xmlns:ns0='http://schemas.microsoft.com/office/2006/coverPageProps' " w:xpath="/ns0:CoverPageProperties[1]/ns0:Abstract[1]" w:storeItemID="{55AF091B-3C7A-41E3-B477-F2FDAA23CFDA}"/>
            <w:text/>
          </w:sdtPr>
          <w:sdtEndPr/>
          <w:sdtContent>
            <w:p w:rsidR="005125CA" w:rsidRDefault="005125CA">
              <w:pPr>
                <w:pStyle w:val="Footer"/>
              </w:pPr>
              <w:r>
                <w:t xml:space="preserve">     </w:t>
              </w:r>
            </w:p>
          </w:sdtContent>
        </w:sdt>
        <w:p w:rsidR="005125CA" w:rsidRDefault="00277264" w:rsidP="00823D4D">
          <w:pPr>
            <w:pStyle w:val="Footersubtitle"/>
          </w:pPr>
          <w:sdt>
            <w:sdtPr>
              <w:alias w:val="Subtitle"/>
              <w:tag w:val="Subtitle"/>
              <w:id w:val="-1393576163"/>
              <w:dataBinding w:prefixMappings="xmlns:ns0='http://purl.org/dc/elements/1.1/' xmlns:ns1='http://schemas.openxmlformats.org/package/2006/metadata/core-properties' " w:xpath="/ns1:coreProperties[1]/ns0:subject[1]" w:storeItemID="{6C3C8BC8-F283-45AE-878A-BAB7291924A1}"/>
              <w:text/>
            </w:sdtPr>
            <w:sdtEndPr/>
            <w:sdtContent>
              <w:r w:rsidR="005125CA">
                <w:t>Pioneer State High School</w:t>
              </w:r>
            </w:sdtContent>
          </w:sdt>
        </w:p>
      </w:tc>
      <w:tc>
        <w:tcPr>
          <w:tcW w:w="2500" w:type="pct"/>
          <w:hideMark/>
        </w:tcPr>
        <w:p w:rsidR="005125CA" w:rsidRDefault="005125CA">
          <w:pPr>
            <w:pStyle w:val="Footer"/>
            <w:ind w:left="284"/>
            <w:jc w:val="right"/>
            <w:rPr>
              <w:rFonts w:eastAsia="SimSun"/>
            </w:rPr>
          </w:pPr>
          <w:r>
            <w:rPr>
              <w:rFonts w:eastAsia="SimSun"/>
            </w:rPr>
            <w:t>Queensland Curriculum &amp; Assessment Authority</w:t>
          </w:r>
        </w:p>
        <w:p w:rsidR="005125CA" w:rsidRDefault="00277264" w:rsidP="00823D4D">
          <w:pPr>
            <w:pStyle w:val="Footersubtitle"/>
            <w:jc w:val="right"/>
            <w:rPr>
              <w:b/>
            </w:rPr>
          </w:pPr>
          <w:sdt>
            <w:sdtPr>
              <w:alias w:val="Publication Date"/>
              <w:id w:val="1145545371"/>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sidR="005125CA">
                <w:t>August 2019</w:t>
              </w:r>
            </w:sdtContent>
          </w:sdt>
          <w:r w:rsidR="005125CA">
            <w:t xml:space="preserve"> </w:t>
          </w:r>
        </w:p>
      </w:tc>
    </w:tr>
    <w:tr w:rsidR="005125CA" w:rsidTr="00912897">
      <w:tc>
        <w:tcPr>
          <w:tcW w:w="5000" w:type="pct"/>
          <w:gridSpan w:val="2"/>
          <w:noWrap/>
          <w:vAlign w:val="center"/>
          <w:hideMark/>
        </w:tcPr>
        <w:sdt>
          <w:sdtPr>
            <w:id w:val="1989897105"/>
            <w:docPartObj>
              <w:docPartGallery w:val="Page Numbers (Top of Page)"/>
              <w:docPartUnique/>
            </w:docPartObj>
          </w:sdtPr>
          <w:sdtEndPr/>
          <w:sdtContent>
            <w:p w:rsidR="005125CA" w:rsidRDefault="005125CA">
              <w:pPr>
                <w:pStyle w:val="Footer"/>
                <w:ind w:left="284"/>
                <w:jc w:val="center"/>
                <w:rPr>
                  <w:b w:val="0"/>
                  <w:color w:val="auto"/>
                  <w:sz w:val="21"/>
                </w:rPr>
              </w:pPr>
              <w:r>
                <w:rPr>
                  <w:b w:val="0"/>
                  <w:color w:val="000000" w:themeColor="text1"/>
                </w:rPr>
                <w:t>Page</w:t>
              </w:r>
              <w:r>
                <w:rPr>
                  <w:color w:val="000000" w:themeColor="text1"/>
                </w:rPr>
                <w:t xml:space="preserve"> </w:t>
              </w:r>
              <w:r>
                <w:rPr>
                  <w:color w:val="000000" w:themeColor="text1"/>
                  <w:sz w:val="24"/>
                  <w:szCs w:val="24"/>
                </w:rPr>
                <w:fldChar w:fldCharType="begin"/>
              </w:r>
              <w:r>
                <w:rPr>
                  <w:color w:val="000000" w:themeColor="text1"/>
                </w:rPr>
                <w:instrText xml:space="preserve"> PAGE </w:instrText>
              </w:r>
              <w:r>
                <w:rPr>
                  <w:color w:val="000000" w:themeColor="text1"/>
                  <w:sz w:val="24"/>
                  <w:szCs w:val="24"/>
                </w:rPr>
                <w:fldChar w:fldCharType="separate"/>
              </w:r>
              <w:r w:rsidR="00277264">
                <w:rPr>
                  <w:noProof/>
                  <w:color w:val="000000" w:themeColor="text1"/>
                </w:rPr>
                <w:t>1</w:t>
              </w:r>
              <w:r>
                <w:rPr>
                  <w:color w:val="000000" w:themeColor="text1"/>
                  <w:sz w:val="24"/>
                  <w:szCs w:val="24"/>
                </w:rPr>
                <w:fldChar w:fldCharType="end"/>
              </w:r>
              <w:r>
                <w:rPr>
                  <w:color w:val="000000" w:themeColor="text1"/>
                </w:rPr>
                <w:t xml:space="preserve"> </w:t>
              </w:r>
              <w:r>
                <w:rPr>
                  <w:b w:val="0"/>
                  <w:color w:val="000000" w:themeColor="text1"/>
                </w:rPr>
                <w:t xml:space="preserve">of </w:t>
              </w:r>
              <w:r>
                <w:rPr>
                  <w:b w:val="0"/>
                  <w:color w:val="000000" w:themeColor="text1"/>
                  <w:sz w:val="24"/>
                  <w:szCs w:val="24"/>
                </w:rPr>
                <w:fldChar w:fldCharType="begin"/>
              </w:r>
              <w:r>
                <w:rPr>
                  <w:b w:val="0"/>
                  <w:color w:val="000000" w:themeColor="text1"/>
                </w:rPr>
                <w:instrText xml:space="preserve"> =</w:instrText>
              </w:r>
              <w:r>
                <w:rPr>
                  <w:b w:val="0"/>
                  <w:color w:val="000000" w:themeColor="text1"/>
                </w:rPr>
                <w:fldChar w:fldCharType="begin"/>
              </w:r>
              <w:r>
                <w:rPr>
                  <w:b w:val="0"/>
                  <w:color w:val="000000" w:themeColor="text1"/>
                </w:rPr>
                <w:instrText xml:space="preserve"> NUMPAGES </w:instrText>
              </w:r>
              <w:r>
                <w:rPr>
                  <w:b w:val="0"/>
                  <w:color w:val="000000" w:themeColor="text1"/>
                </w:rPr>
                <w:fldChar w:fldCharType="separate"/>
              </w:r>
              <w:r w:rsidR="00277264">
                <w:rPr>
                  <w:b w:val="0"/>
                  <w:noProof/>
                  <w:color w:val="000000" w:themeColor="text1"/>
                </w:rPr>
                <w:instrText>1</w:instrText>
              </w:r>
              <w:r>
                <w:rPr>
                  <w:b w:val="0"/>
                  <w:color w:val="000000" w:themeColor="text1"/>
                </w:rPr>
                <w:fldChar w:fldCharType="end"/>
              </w:r>
              <w:r>
                <w:rPr>
                  <w:b w:val="0"/>
                  <w:color w:val="000000" w:themeColor="text1"/>
                </w:rPr>
                <w:instrText xml:space="preserve">-2 </w:instrText>
              </w:r>
              <w:r>
                <w:rPr>
                  <w:b w:val="0"/>
                  <w:color w:val="000000" w:themeColor="text1"/>
                  <w:sz w:val="24"/>
                  <w:szCs w:val="24"/>
                </w:rPr>
                <w:fldChar w:fldCharType="separate"/>
              </w:r>
              <w:r w:rsidR="00277264">
                <w:rPr>
                  <w:b w:val="0"/>
                  <w:noProof/>
                  <w:color w:val="000000" w:themeColor="text1"/>
                </w:rPr>
                <w:t>-1</w:t>
              </w:r>
              <w:r>
                <w:rPr>
                  <w:b w:val="0"/>
                  <w:color w:val="000000" w:themeColor="text1"/>
                  <w:sz w:val="24"/>
                  <w:szCs w:val="24"/>
                </w:rPr>
                <w:fldChar w:fldCharType="end"/>
              </w:r>
            </w:p>
          </w:sdtContent>
        </w:sdt>
      </w:tc>
    </w:tr>
  </w:tbl>
  <w:p w:rsidR="005125CA" w:rsidRDefault="005125CA" w:rsidP="0096157B">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tabs>
        <w:tab w:val="right" w:pos="10532"/>
      </w:tabs>
      <w:spacing w:after="26" w:line="259" w:lineRule="auto"/>
      <w:ind w:left="-852" w:right="-5421"/>
    </w:pPr>
    <w:r>
      <w:rPr>
        <w:b/>
        <w:color w:val="1E1E1E"/>
        <w:sz w:val="16"/>
      </w:rPr>
      <w:t xml:space="preserve">Pioneer State High School 2019 Senior subject guide  </w:t>
    </w:r>
    <w:r>
      <w:rPr>
        <w:b/>
        <w:color w:val="1E1E1E"/>
        <w:sz w:val="16"/>
      </w:rPr>
      <w:tab/>
      <w:t>Queensland Curriculum &amp; Assessment Authorit</w:t>
    </w:r>
  </w:p>
  <w:p w:rsidR="005125CA" w:rsidRDefault="005125CA">
    <w:pPr>
      <w:tabs>
        <w:tab w:val="right" w:pos="10532"/>
      </w:tabs>
      <w:spacing w:after="39" w:line="259" w:lineRule="auto"/>
      <w:ind w:left="-852" w:right="-5420"/>
    </w:pPr>
    <w:r>
      <w:rPr>
        <w:color w:val="6F7278"/>
        <w:sz w:val="16"/>
      </w:rPr>
      <w:t xml:space="preserve">Modified from QCAA v1.2, May 2018 </w:t>
    </w:r>
    <w:r>
      <w:rPr>
        <w:color w:val="6F7278"/>
        <w:sz w:val="16"/>
      </w:rPr>
      <w:tab/>
      <w:t>My 201</w:t>
    </w:r>
  </w:p>
  <w:p w:rsidR="005125CA" w:rsidRDefault="005125CA">
    <w:pPr>
      <w:spacing w:line="259" w:lineRule="auto"/>
      <w:ind w:left="4526" w:right="-414"/>
      <w:jc w:val="center"/>
    </w:pPr>
    <w:r>
      <w:rPr>
        <w:sz w:val="16"/>
      </w:rPr>
      <w:t>Page</w:t>
    </w:r>
    <w:r>
      <w:rPr>
        <w:b/>
        <w:sz w:val="16"/>
      </w:rPr>
      <w:t xml:space="preserve"> </w:t>
    </w:r>
    <w:r>
      <w:fldChar w:fldCharType="begin"/>
    </w:r>
    <w:r>
      <w:instrText xml:space="preserve"> PAGE   \* MERGEFORMAT </w:instrText>
    </w:r>
    <w:r>
      <w:fldChar w:fldCharType="separate"/>
    </w:r>
    <w:r w:rsidRPr="002A6B5D">
      <w:rPr>
        <w:b/>
        <w:noProof/>
        <w:sz w:val="16"/>
      </w:rPr>
      <w:t>12</w:t>
    </w:r>
    <w:r>
      <w:rPr>
        <w:b/>
        <w:sz w:val="16"/>
      </w:rPr>
      <w:fldChar w:fldCharType="end"/>
    </w:r>
    <w:r>
      <w:rPr>
        <w:b/>
        <w:sz w:val="16"/>
      </w:rPr>
      <w:t xml:space="preserve"> </w:t>
    </w:r>
    <w:r>
      <w:rPr>
        <w:sz w:val="16"/>
      </w:rPr>
      <w:t>of 93</w:t>
    </w:r>
    <w:r>
      <w:t xml:space="preserve"> </w:t>
    </w:r>
  </w:p>
  <w:p w:rsidR="005125CA" w:rsidRDefault="005125CA">
    <w:pPr>
      <w:spacing w:line="259" w:lineRule="auto"/>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rsidP="00541ADA">
    <w:pPr>
      <w:tabs>
        <w:tab w:val="right" w:pos="8931"/>
      </w:tabs>
      <w:spacing w:after="26" w:line="259" w:lineRule="auto"/>
      <w:ind w:left="-567" w:right="-5421"/>
    </w:pPr>
    <w:r>
      <w:rPr>
        <w:b/>
        <w:color w:val="1E1E1E"/>
        <w:sz w:val="16"/>
      </w:rPr>
      <w:t xml:space="preserve">Pioneer State High School 2019 Senior subject </w:t>
    </w:r>
    <w:r w:rsidR="00541ADA">
      <w:rPr>
        <w:b/>
        <w:color w:val="1E1E1E"/>
        <w:sz w:val="16"/>
      </w:rPr>
      <w:t>guide</w:t>
    </w:r>
    <w:r w:rsidR="00541ADA">
      <w:rPr>
        <w:b/>
        <w:color w:val="1E1E1E"/>
        <w:sz w:val="16"/>
      </w:rPr>
      <w:tab/>
    </w:r>
    <w:r>
      <w:rPr>
        <w:b/>
        <w:color w:val="1E1E1E"/>
        <w:sz w:val="16"/>
      </w:rPr>
      <w:t>Queensland Curriculum &amp; Assessment Authority</w:t>
    </w:r>
  </w:p>
  <w:p w:rsidR="005125CA" w:rsidRDefault="005125CA">
    <w:pPr>
      <w:tabs>
        <w:tab w:val="right" w:pos="10532"/>
      </w:tabs>
      <w:spacing w:after="39" w:line="259" w:lineRule="auto"/>
      <w:ind w:left="-852" w:right="-5420"/>
    </w:pPr>
    <w:r>
      <w:rPr>
        <w:color w:val="6F7278"/>
        <w:sz w:val="16"/>
      </w:rPr>
      <w:tab/>
    </w:r>
  </w:p>
  <w:p w:rsidR="005125CA" w:rsidRDefault="005125CA" w:rsidP="00823D4D">
    <w:pPr>
      <w:spacing w:line="259" w:lineRule="auto"/>
      <w:ind w:left="4526" w:right="-414"/>
    </w:pPr>
    <w:r>
      <w:rPr>
        <w:sz w:val="16"/>
      </w:rPr>
      <w:t>Page</w:t>
    </w:r>
    <w:r>
      <w:rPr>
        <w:b/>
        <w:sz w:val="16"/>
      </w:rPr>
      <w:t xml:space="preserve"> </w:t>
    </w:r>
    <w:r>
      <w:fldChar w:fldCharType="begin"/>
    </w:r>
    <w:r>
      <w:instrText xml:space="preserve"> PAGE   \* MERGEFORMAT </w:instrText>
    </w:r>
    <w:r>
      <w:fldChar w:fldCharType="separate"/>
    </w:r>
    <w:r w:rsidR="00AE64F3" w:rsidRPr="00AE64F3">
      <w:rPr>
        <w:b/>
        <w:noProof/>
        <w:sz w:val="16"/>
      </w:rPr>
      <w:t>73</w:t>
    </w:r>
    <w:r>
      <w:rPr>
        <w:b/>
        <w:sz w:val="16"/>
      </w:rPr>
      <w:fldChar w:fldCharType="end"/>
    </w:r>
    <w:r>
      <w:rPr>
        <w:b/>
        <w:sz w:val="16"/>
      </w:rPr>
      <w:t xml:space="preserve"> </w:t>
    </w:r>
    <w:r>
      <w:rPr>
        <w:sz w:val="16"/>
      </w:rPr>
      <w:t>of 93</w:t>
    </w:r>
    <w:r>
      <w:t xml:space="preserve"> </w:t>
    </w:r>
  </w:p>
  <w:p w:rsidR="005125CA" w:rsidRDefault="005125CA">
    <w:pPr>
      <w:spacing w:line="259" w:lineRule="auto"/>
    </w:pPr>
    <w:r>
      <w:rPr>
        <w:sz w:val="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rsidP="00823D4D">
    <w:pPr>
      <w:tabs>
        <w:tab w:val="right" w:pos="10206"/>
      </w:tabs>
      <w:spacing w:after="26" w:line="259" w:lineRule="auto"/>
      <w:ind w:left="-852" w:right="-5421"/>
    </w:pPr>
    <w:r>
      <w:rPr>
        <w:b/>
        <w:color w:val="1E1E1E"/>
        <w:sz w:val="16"/>
      </w:rPr>
      <w:t xml:space="preserve">Pioneer State High School 2019 Senior subject guide  </w:t>
    </w:r>
    <w:r>
      <w:rPr>
        <w:b/>
        <w:color w:val="1E1E1E"/>
        <w:sz w:val="16"/>
      </w:rPr>
      <w:tab/>
      <w:t>Queensland Curriculum &amp; Assessment Authority</w:t>
    </w:r>
  </w:p>
  <w:p w:rsidR="005125CA" w:rsidRDefault="005125CA">
    <w:pPr>
      <w:tabs>
        <w:tab w:val="right" w:pos="10532"/>
      </w:tabs>
      <w:spacing w:after="39" w:line="259" w:lineRule="auto"/>
      <w:ind w:left="-852" w:right="-5420"/>
    </w:pPr>
    <w:r>
      <w:rPr>
        <w:color w:val="6F7278"/>
        <w:sz w:val="16"/>
      </w:rPr>
      <w:t xml:space="preserve">Modified from QCAA v1.2, May 2018 </w:t>
    </w:r>
    <w:r>
      <w:rPr>
        <w:color w:val="6F7278"/>
        <w:sz w:val="16"/>
      </w:rPr>
      <w:tab/>
    </w:r>
  </w:p>
  <w:p w:rsidR="005125CA" w:rsidRDefault="005125CA" w:rsidP="00823D4D">
    <w:pPr>
      <w:tabs>
        <w:tab w:val="center" w:pos="4253"/>
      </w:tabs>
      <w:spacing w:line="259" w:lineRule="auto"/>
      <w:ind w:right="-414"/>
      <w:jc w:val="both"/>
    </w:pPr>
    <w:r>
      <w:rPr>
        <w:sz w:val="16"/>
      </w:rPr>
      <w:tab/>
      <w:t>Page</w:t>
    </w:r>
    <w:r>
      <w:rPr>
        <w:b/>
        <w:sz w:val="16"/>
      </w:rPr>
      <w:t xml:space="preserve"> </w:t>
    </w:r>
    <w:r>
      <w:fldChar w:fldCharType="begin"/>
    </w:r>
    <w:r>
      <w:instrText xml:space="preserve"> PAGE   \* MERGEFORMAT </w:instrText>
    </w:r>
    <w:r>
      <w:fldChar w:fldCharType="separate"/>
    </w:r>
    <w:r w:rsidRPr="006923A3">
      <w:rPr>
        <w:b/>
        <w:noProof/>
        <w:sz w:val="16"/>
      </w:rPr>
      <w:t>10</w:t>
    </w:r>
    <w:r>
      <w:rPr>
        <w:b/>
        <w:sz w:val="16"/>
      </w:rPr>
      <w:fldChar w:fldCharType="end"/>
    </w:r>
    <w:r>
      <w:rPr>
        <w:b/>
        <w:sz w:val="16"/>
      </w:rPr>
      <w:t xml:space="preserve"> </w:t>
    </w:r>
    <w:r>
      <w:rPr>
        <w:sz w:val="16"/>
      </w:rPr>
      <w:t>of 93</w:t>
    </w:r>
    <w:r>
      <w:t xml:space="preserve"> </w:t>
    </w:r>
  </w:p>
  <w:p w:rsidR="005125CA" w:rsidRDefault="005125CA">
    <w:pPr>
      <w:spacing w:line="259" w:lineRule="auto"/>
    </w:pPr>
    <w:r>
      <w:rPr>
        <w:sz w:val="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tabs>
        <w:tab w:val="right" w:pos="10532"/>
      </w:tabs>
      <w:spacing w:after="26" w:line="259" w:lineRule="auto"/>
      <w:ind w:left="-852" w:right="-1454"/>
    </w:pPr>
    <w:r>
      <w:rPr>
        <w:b/>
        <w:color w:val="1E1E1E"/>
        <w:sz w:val="16"/>
      </w:rPr>
      <w:t xml:space="preserve">Pioneer State High School 2019 Senior subject guide  </w:t>
    </w:r>
    <w:r>
      <w:rPr>
        <w:b/>
        <w:color w:val="1E1E1E"/>
        <w:sz w:val="16"/>
      </w:rPr>
      <w:tab/>
      <w:t>Queensland Curriculum &amp; Assessment Authorit</w:t>
    </w:r>
  </w:p>
  <w:p w:rsidR="005125CA" w:rsidRDefault="005125CA">
    <w:pPr>
      <w:tabs>
        <w:tab w:val="right" w:pos="10532"/>
      </w:tabs>
      <w:spacing w:after="39" w:line="259" w:lineRule="auto"/>
      <w:ind w:left="-852" w:right="-1454"/>
    </w:pPr>
    <w:r>
      <w:rPr>
        <w:color w:val="6F7278"/>
        <w:sz w:val="16"/>
      </w:rPr>
      <w:t xml:space="preserve">Modified from QCAA v1.2, May 2018 </w:t>
    </w:r>
    <w:r>
      <w:rPr>
        <w:color w:val="6F7278"/>
        <w:sz w:val="16"/>
      </w:rPr>
      <w:tab/>
      <w:t>My 201</w:t>
    </w:r>
  </w:p>
  <w:p w:rsidR="005125CA" w:rsidRDefault="005125CA">
    <w:pPr>
      <w:spacing w:line="259" w:lineRule="auto"/>
      <w:ind w:left="974"/>
      <w:jc w:val="center"/>
    </w:pPr>
    <w:r>
      <w:rPr>
        <w:sz w:val="16"/>
      </w:rPr>
      <w:t>Page</w:t>
    </w:r>
    <w:r>
      <w:rPr>
        <w:b/>
        <w:sz w:val="16"/>
      </w:rPr>
      <w:t xml:space="preserve"> </w:t>
    </w:r>
    <w:r>
      <w:fldChar w:fldCharType="begin"/>
    </w:r>
    <w:r>
      <w:instrText xml:space="preserve"> PAGE   \* MERGEFORMAT </w:instrText>
    </w:r>
    <w:r>
      <w:fldChar w:fldCharType="separate"/>
    </w:r>
    <w:r w:rsidRPr="001D487F">
      <w:rPr>
        <w:b/>
        <w:noProof/>
        <w:sz w:val="16"/>
      </w:rPr>
      <w:t>98</w:t>
    </w:r>
    <w:r>
      <w:rPr>
        <w:b/>
        <w:sz w:val="16"/>
      </w:rPr>
      <w:fldChar w:fldCharType="end"/>
    </w:r>
    <w:r>
      <w:rPr>
        <w:b/>
        <w:sz w:val="16"/>
      </w:rPr>
      <w:t xml:space="preserve"> </w:t>
    </w:r>
    <w:r>
      <w:rPr>
        <w:sz w:val="16"/>
      </w:rPr>
      <w:t>of 93</w:t>
    </w:r>
    <w:r>
      <w:t xml:space="preserve"> </w:t>
    </w:r>
  </w:p>
  <w:p w:rsidR="005125CA" w:rsidRDefault="005125CA">
    <w:pPr>
      <w:spacing w:line="259" w:lineRule="auto"/>
    </w:pPr>
    <w:r>
      <w:rPr>
        <w:sz w:val="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rsidP="0052674D">
    <w:pPr>
      <w:tabs>
        <w:tab w:val="right" w:pos="9072"/>
      </w:tabs>
      <w:spacing w:after="26" w:line="259" w:lineRule="auto"/>
      <w:ind w:left="-852" w:right="-1454"/>
    </w:pPr>
    <w:r>
      <w:rPr>
        <w:b/>
        <w:color w:val="1E1E1E"/>
        <w:sz w:val="16"/>
      </w:rPr>
      <w:t xml:space="preserve">Pioneer State High School 2019 Senior subject guide </w:t>
    </w:r>
    <w:r>
      <w:rPr>
        <w:b/>
        <w:color w:val="1E1E1E"/>
        <w:sz w:val="16"/>
      </w:rPr>
      <w:tab/>
      <w:t xml:space="preserve"> Queensland Curriculum &amp; Assessment Authority</w:t>
    </w:r>
  </w:p>
  <w:p w:rsidR="005125CA" w:rsidRDefault="005125CA">
    <w:pPr>
      <w:tabs>
        <w:tab w:val="right" w:pos="10532"/>
      </w:tabs>
      <w:spacing w:after="39" w:line="259" w:lineRule="auto"/>
      <w:ind w:left="-852" w:right="-1454"/>
    </w:pPr>
    <w:r>
      <w:rPr>
        <w:color w:val="6F7278"/>
        <w:sz w:val="16"/>
      </w:rPr>
      <w:tab/>
    </w:r>
  </w:p>
  <w:p w:rsidR="005125CA" w:rsidRDefault="005125CA">
    <w:pPr>
      <w:spacing w:line="259" w:lineRule="auto"/>
      <w:ind w:left="974"/>
      <w:jc w:val="center"/>
    </w:pPr>
    <w:r>
      <w:rPr>
        <w:sz w:val="16"/>
      </w:rPr>
      <w:t>Page</w:t>
    </w:r>
    <w:r>
      <w:rPr>
        <w:b/>
        <w:sz w:val="16"/>
      </w:rPr>
      <w:t xml:space="preserve"> </w:t>
    </w:r>
    <w:r>
      <w:fldChar w:fldCharType="begin"/>
    </w:r>
    <w:r>
      <w:instrText xml:space="preserve"> PAGE   \* MERGEFORMAT </w:instrText>
    </w:r>
    <w:r>
      <w:fldChar w:fldCharType="separate"/>
    </w:r>
    <w:r w:rsidR="00AE64F3" w:rsidRPr="00AE64F3">
      <w:rPr>
        <w:b/>
        <w:noProof/>
        <w:sz w:val="16"/>
      </w:rPr>
      <w:t>82</w:t>
    </w:r>
    <w:r>
      <w:rPr>
        <w:b/>
        <w:sz w:val="16"/>
      </w:rPr>
      <w:fldChar w:fldCharType="end"/>
    </w:r>
    <w:r>
      <w:rPr>
        <w:b/>
        <w:sz w:val="16"/>
      </w:rPr>
      <w:t xml:space="preserve"> </w:t>
    </w:r>
    <w:r>
      <w:rPr>
        <w:sz w:val="16"/>
      </w:rPr>
      <w:t>of 93</w:t>
    </w:r>
    <w:r>
      <w:t xml:space="preserve"> </w:t>
    </w:r>
  </w:p>
  <w:p w:rsidR="005125CA" w:rsidRDefault="005125CA">
    <w:pPr>
      <w:spacing w:line="259" w:lineRule="auto"/>
    </w:pPr>
    <w:r>
      <w:rPr>
        <w:sz w:val="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tabs>
        <w:tab w:val="right" w:pos="10532"/>
      </w:tabs>
      <w:spacing w:after="26" w:line="259" w:lineRule="auto"/>
      <w:ind w:left="-852" w:right="-1454"/>
    </w:pPr>
    <w:r>
      <w:rPr>
        <w:b/>
        <w:color w:val="1E1E1E"/>
        <w:sz w:val="16"/>
      </w:rPr>
      <w:t xml:space="preserve">Pioneer State High School 2019 Senior subject guide  </w:t>
    </w:r>
    <w:r>
      <w:rPr>
        <w:b/>
        <w:color w:val="1E1E1E"/>
        <w:sz w:val="16"/>
      </w:rPr>
      <w:tab/>
      <w:t>Queensland Curriculum &amp; Assessment Authorit</w:t>
    </w:r>
  </w:p>
  <w:p w:rsidR="005125CA" w:rsidRDefault="005125CA">
    <w:pPr>
      <w:tabs>
        <w:tab w:val="right" w:pos="10532"/>
      </w:tabs>
      <w:spacing w:after="39" w:line="259" w:lineRule="auto"/>
      <w:ind w:left="-852" w:right="-1454"/>
    </w:pPr>
    <w:r>
      <w:rPr>
        <w:color w:val="6F7278"/>
        <w:sz w:val="16"/>
      </w:rPr>
      <w:t xml:space="preserve">Modified from QCAA v1.2, May 2018 </w:t>
    </w:r>
    <w:r>
      <w:rPr>
        <w:color w:val="6F7278"/>
        <w:sz w:val="16"/>
      </w:rPr>
      <w:tab/>
      <w:t>My 201</w:t>
    </w:r>
  </w:p>
  <w:p w:rsidR="005125CA" w:rsidRDefault="005125CA">
    <w:pPr>
      <w:spacing w:line="259" w:lineRule="auto"/>
      <w:ind w:left="974"/>
      <w:jc w:val="center"/>
    </w:pPr>
    <w:r>
      <w:rPr>
        <w:sz w:val="16"/>
      </w:rPr>
      <w:t>Page</w:t>
    </w:r>
    <w:r>
      <w:rPr>
        <w:b/>
        <w:sz w:val="16"/>
      </w:rPr>
      <w:t xml:space="preserve"> </w:t>
    </w:r>
    <w:r>
      <w:fldChar w:fldCharType="begin"/>
    </w:r>
    <w:r>
      <w:instrText xml:space="preserve"> PAGE   \* MERGEFORMAT </w:instrText>
    </w:r>
    <w:r>
      <w:fldChar w:fldCharType="separate"/>
    </w:r>
    <w:r>
      <w:rPr>
        <w:b/>
        <w:sz w:val="16"/>
      </w:rPr>
      <w:t>10</w:t>
    </w:r>
    <w:r>
      <w:rPr>
        <w:b/>
        <w:sz w:val="16"/>
      </w:rPr>
      <w:fldChar w:fldCharType="end"/>
    </w:r>
    <w:r>
      <w:rPr>
        <w:b/>
        <w:sz w:val="16"/>
      </w:rPr>
      <w:t xml:space="preserve"> </w:t>
    </w:r>
    <w:r>
      <w:rPr>
        <w:sz w:val="16"/>
      </w:rPr>
      <w:t>of 93</w:t>
    </w:r>
    <w:r>
      <w:t xml:space="preserve"> </w:t>
    </w:r>
  </w:p>
  <w:p w:rsidR="005125CA" w:rsidRDefault="005125CA">
    <w:pPr>
      <w:spacing w:line="259" w:lineRule="auto"/>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80" w:rsidRPr="00E95E3F" w:rsidRDefault="006F6C80" w:rsidP="00B3438C"/>
  </w:footnote>
  <w:footnote w:type="continuationSeparator" w:id="0">
    <w:p w:rsidR="006F6C80" w:rsidRDefault="006F6C80">
      <w:r>
        <w:continuationSeparator/>
      </w:r>
    </w:p>
    <w:p w:rsidR="006F6C80" w:rsidRDefault="006F6C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spacing w:after="371" w:line="259" w:lineRule="auto"/>
    </w:pPr>
    <w:r>
      <w:t xml:space="preserve"> </w:t>
    </w:r>
  </w:p>
  <w:p w:rsidR="005125CA" w:rsidRDefault="005125CA">
    <w:pPr>
      <w:spacing w:line="259" w:lineRule="auto"/>
    </w:pPr>
    <w:r>
      <w:rPr>
        <w:b/>
        <w:color w:val="6D6F70"/>
        <w:sz w:val="28"/>
      </w:rPr>
      <w:t xml:space="preserve">Structure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pPr w:vertAnchor="page" w:horzAnchor="page" w:tblpX="10654" w:tblpY="1133"/>
      <w:tblOverlap w:val="never"/>
      <w:tblW w:w="845" w:type="dxa"/>
      <w:tblInd w:w="0" w:type="dxa"/>
      <w:tblCellMar>
        <w:left w:w="154" w:type="dxa"/>
        <w:bottom w:w="54" w:type="dxa"/>
        <w:right w:w="10" w:type="dxa"/>
      </w:tblCellMar>
      <w:tblLook w:val="04A0" w:firstRow="1" w:lastRow="0" w:firstColumn="1" w:lastColumn="0" w:noHBand="0" w:noVBand="1"/>
    </w:tblPr>
    <w:tblGrid>
      <w:gridCol w:w="845"/>
    </w:tblGrid>
    <w:tr w:rsidR="005125CA">
      <w:trPr>
        <w:trHeight w:val="881"/>
      </w:trPr>
      <w:tc>
        <w:tcPr>
          <w:tcW w:w="845" w:type="dxa"/>
          <w:tcBorders>
            <w:top w:val="nil"/>
            <w:left w:val="nil"/>
            <w:bottom w:val="nil"/>
            <w:right w:val="nil"/>
          </w:tcBorders>
          <w:shd w:val="clear" w:color="auto" w:fill="F26A21"/>
          <w:vAlign w:val="bottom"/>
        </w:tcPr>
        <w:p w:rsidR="005125CA" w:rsidRDefault="005125CA">
          <w:pPr>
            <w:spacing w:line="259" w:lineRule="auto"/>
          </w:pPr>
          <w:r>
            <w:rPr>
              <w:b/>
              <w:color w:val="FFFFFF"/>
              <w:sz w:val="17"/>
            </w:rPr>
            <w:t xml:space="preserve">General </w:t>
          </w:r>
        </w:p>
      </w:tc>
    </w:tr>
  </w:tbl>
  <w:p w:rsidR="005125CA" w:rsidRDefault="005125CA">
    <w:pPr>
      <w:spacing w:after="1010" w:line="259" w:lineRule="auto"/>
    </w:pPr>
    <w:r>
      <w:rPr>
        <w:rFonts w:ascii="Calibri" w:eastAsia="Calibri" w:hAnsi="Calibri" w:cs="Calibri"/>
        <w:noProof/>
        <w:sz w:val="22"/>
        <w:lang w:eastAsia="zh-TW"/>
      </w:rPr>
      <mc:AlternateContent>
        <mc:Choice Requires="wpg">
          <w:drawing>
            <wp:anchor distT="0" distB="0" distL="114300" distR="114300" simplePos="0" relativeHeight="251663360" behindDoc="0" locked="0" layoutInCell="1" allowOverlap="1" wp14:anchorId="6A44A9E3" wp14:editId="67366A7D">
              <wp:simplePos x="0" y="0"/>
              <wp:positionH relativeFrom="page">
                <wp:posOffset>792480</wp:posOffset>
              </wp:positionH>
              <wp:positionV relativeFrom="page">
                <wp:posOffset>719324</wp:posOffset>
              </wp:positionV>
              <wp:extent cx="89916" cy="559308"/>
              <wp:effectExtent l="0" t="0" r="0" b="0"/>
              <wp:wrapSquare wrapText="bothSides"/>
              <wp:docPr id="172201" name="Group 172201"/>
              <wp:cNvGraphicFramePr/>
              <a:graphic xmlns:a="http://schemas.openxmlformats.org/drawingml/2006/main">
                <a:graphicData uri="http://schemas.microsoft.com/office/word/2010/wordprocessingGroup">
                  <wpg:wgp>
                    <wpg:cNvGrpSpPr/>
                    <wpg:grpSpPr>
                      <a:xfrm>
                        <a:off x="0" y="0"/>
                        <a:ext cx="89916" cy="559308"/>
                        <a:chOff x="0" y="0"/>
                        <a:chExt cx="89916" cy="559308"/>
                      </a:xfrm>
                    </wpg:grpSpPr>
                    <wps:wsp>
                      <wps:cNvPr id="182776" name="Shape 182776"/>
                      <wps:cNvSpPr/>
                      <wps:spPr>
                        <a:xfrm>
                          <a:off x="0" y="0"/>
                          <a:ext cx="89916" cy="541020"/>
                        </a:xfrm>
                        <a:custGeom>
                          <a:avLst/>
                          <a:gdLst/>
                          <a:ahLst/>
                          <a:cxnLst/>
                          <a:rect l="0" t="0" r="0" b="0"/>
                          <a:pathLst>
                            <a:path w="89916" h="541020">
                              <a:moveTo>
                                <a:pt x="0" y="0"/>
                              </a:moveTo>
                              <a:lnTo>
                                <a:pt x="89916" y="0"/>
                              </a:lnTo>
                              <a:lnTo>
                                <a:pt x="89916" y="541020"/>
                              </a:lnTo>
                              <a:lnTo>
                                <a:pt x="0" y="541020"/>
                              </a:lnTo>
                              <a:lnTo>
                                <a:pt x="0" y="0"/>
                              </a:lnTo>
                            </a:path>
                          </a:pathLst>
                        </a:custGeom>
                        <a:ln w="0" cap="flat">
                          <a:miter lim="127000"/>
                        </a:ln>
                      </wps:spPr>
                      <wps:style>
                        <a:lnRef idx="0">
                          <a:srgbClr val="000000">
                            <a:alpha val="0"/>
                          </a:srgbClr>
                        </a:lnRef>
                        <a:fillRef idx="1">
                          <a:srgbClr val="F26A21"/>
                        </a:fillRef>
                        <a:effectRef idx="0">
                          <a:scrgbClr r="0" g="0" b="0"/>
                        </a:effectRef>
                        <a:fontRef idx="none"/>
                      </wps:style>
                      <wps:bodyPr/>
                    </wps:wsp>
                    <wps:wsp>
                      <wps:cNvPr id="182777" name="Shape 182777"/>
                      <wps:cNvSpPr/>
                      <wps:spPr>
                        <a:xfrm>
                          <a:off x="0" y="0"/>
                          <a:ext cx="89916" cy="204215"/>
                        </a:xfrm>
                        <a:custGeom>
                          <a:avLst/>
                          <a:gdLst/>
                          <a:ahLst/>
                          <a:cxnLst/>
                          <a:rect l="0" t="0" r="0" b="0"/>
                          <a:pathLst>
                            <a:path w="89916" h="204215">
                              <a:moveTo>
                                <a:pt x="0" y="0"/>
                              </a:moveTo>
                              <a:lnTo>
                                <a:pt x="89916" y="0"/>
                              </a:lnTo>
                              <a:lnTo>
                                <a:pt x="89916" y="204215"/>
                              </a:lnTo>
                              <a:lnTo>
                                <a:pt x="0" y="204215"/>
                              </a:lnTo>
                              <a:lnTo>
                                <a:pt x="0" y="0"/>
                              </a:lnTo>
                            </a:path>
                          </a:pathLst>
                        </a:custGeom>
                        <a:ln w="0" cap="flat">
                          <a:miter lim="127000"/>
                        </a:ln>
                      </wps:spPr>
                      <wps:style>
                        <a:lnRef idx="0">
                          <a:srgbClr val="000000">
                            <a:alpha val="0"/>
                          </a:srgbClr>
                        </a:lnRef>
                        <a:fillRef idx="1">
                          <a:srgbClr val="F26A21"/>
                        </a:fillRef>
                        <a:effectRef idx="0">
                          <a:scrgbClr r="0" g="0" b="0"/>
                        </a:effectRef>
                        <a:fontRef idx="none"/>
                      </wps:style>
                      <wps:bodyPr/>
                    </wps:wsp>
                    <wps:wsp>
                      <wps:cNvPr id="172205" name="Rectangle 172205"/>
                      <wps:cNvSpPr/>
                      <wps:spPr>
                        <a:xfrm>
                          <a:off x="0" y="50724"/>
                          <a:ext cx="44489" cy="148117"/>
                        </a:xfrm>
                        <a:prstGeom prst="rect">
                          <a:avLst/>
                        </a:prstGeom>
                        <a:ln>
                          <a:noFill/>
                        </a:ln>
                      </wps:spPr>
                      <wps:txbx>
                        <w:txbxContent>
                          <w:p w:rsidR="005125CA" w:rsidRDefault="005125CA">
                            <w:pPr>
                              <w:spacing w:after="160" w:line="259" w:lineRule="auto"/>
                            </w:pPr>
                            <w:r>
                              <w:rPr>
                                <w:sz w:val="19"/>
                              </w:rPr>
                              <w:t xml:space="preserve"> </w:t>
                            </w:r>
                          </w:p>
                        </w:txbxContent>
                      </wps:txbx>
                      <wps:bodyPr horzOverflow="overflow" vert="horz" lIns="0" tIns="0" rIns="0" bIns="0" rtlCol="0">
                        <a:noAutofit/>
                      </wps:bodyPr>
                    </wps:wsp>
                    <wps:wsp>
                      <wps:cNvPr id="182778" name="Shape 182778"/>
                      <wps:cNvSpPr/>
                      <wps:spPr>
                        <a:xfrm>
                          <a:off x="0" y="541020"/>
                          <a:ext cx="89916" cy="18288"/>
                        </a:xfrm>
                        <a:custGeom>
                          <a:avLst/>
                          <a:gdLst/>
                          <a:ahLst/>
                          <a:cxnLst/>
                          <a:rect l="0" t="0" r="0" b="0"/>
                          <a:pathLst>
                            <a:path w="89916" h="18288">
                              <a:moveTo>
                                <a:pt x="0" y="0"/>
                              </a:moveTo>
                              <a:lnTo>
                                <a:pt x="89916" y="0"/>
                              </a:lnTo>
                              <a:lnTo>
                                <a:pt x="89916" y="18288"/>
                              </a:lnTo>
                              <a:lnTo>
                                <a:pt x="0" y="18288"/>
                              </a:lnTo>
                              <a:lnTo>
                                <a:pt x="0" y="0"/>
                              </a:lnTo>
                            </a:path>
                          </a:pathLst>
                        </a:custGeom>
                        <a:ln w="0" cap="flat">
                          <a:miter lim="127000"/>
                        </a:ln>
                      </wps:spPr>
                      <wps:style>
                        <a:lnRef idx="0">
                          <a:srgbClr val="000000">
                            <a:alpha val="0"/>
                          </a:srgbClr>
                        </a:lnRef>
                        <a:fillRef idx="1">
                          <a:srgbClr val="F26A21"/>
                        </a:fillRef>
                        <a:effectRef idx="0">
                          <a:scrgbClr r="0" g="0" b="0"/>
                        </a:effectRef>
                        <a:fontRef idx="none"/>
                      </wps:style>
                      <wps:bodyPr/>
                    </wps:wsp>
                  </wpg:wgp>
                </a:graphicData>
              </a:graphic>
            </wp:anchor>
          </w:drawing>
        </mc:Choice>
        <mc:Fallback>
          <w:pict>
            <v:group w14:anchorId="6A44A9E3" id="Group 172201" o:spid="_x0000_s1026" style="position:absolute;margin-left:62.4pt;margin-top:56.65pt;width:7.1pt;height:44.05pt;z-index:251663360;mso-position-horizontal-relative:page;mso-position-vertical-relative:page" coordsize="899,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">
              <v:shape id="Shape 182776" o:spid="_x0000_s1027" style="position:absolute;width:899;height:5410;visibility:visible;mso-wrap-style:square;v-text-anchor:top" coordsize="89916,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" path="m,l89916,r,541020l,541020,,e" fillcolor="#f26a21" stroked="f" strokeweight="0">
                <v:stroke miterlimit="83231f" joinstyle="miter"/>
                <v:path arrowok="t" textboxrect="0,0,89916,541020"/>
              </v:shape>
              <v:shape id="Shape 182777" o:spid="_x0000_s1028" style="position:absolute;width:899;height:2042;visibility:visible;mso-wrap-style:square;v-text-anchor:top" coordsize="89916,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" path="m,l89916,r,204215l,204215,,e" fillcolor="#f26a21" stroked="f" strokeweight="0">
                <v:stroke miterlimit="83231f" joinstyle="miter"/>
                <v:path arrowok="t" textboxrect="0,0,89916,204215"/>
              </v:shape>
              <v:rect id="Rectangle 172205" o:spid="_x0000_s1029" style="position:absolute;top:507;width:44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" filled="f" stroked="f">
                <v:textbox inset="0,0,0,0">
                  <w:txbxContent>
                    <w:p w:rsidR="005125CA" w:rsidRDefault="005125CA">
                      <w:pPr>
                        <w:spacing w:after="160" w:line="259" w:lineRule="auto"/>
                      </w:pPr>
                      <w:r>
                        <w:rPr>
                          <w:sz w:val="19"/>
                        </w:rPr>
                        <w:t xml:space="preserve"> </w:t>
                      </w:r>
                    </w:p>
                  </w:txbxContent>
                </v:textbox>
              </v:rect>
              <v:shape id="Shape 182778" o:spid="_x0000_s1030" style="position:absolute;top:5410;width:899;height:183;visibility:visible;mso-wrap-style:square;v-text-anchor:top" coordsize="899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" path="m,l89916,r,18288l,18288,,e" fillcolor="#f26a21" stroked="f" strokeweight="0">
                <v:stroke miterlimit="83231f" joinstyle="miter"/>
                <v:path arrowok="t" textboxrect="0,0,89916,18288"/>
              </v:shape>
              <w10:wrap type="square" anchorx="page" anchory="page"/>
            </v:group>
          </w:pict>
        </mc:Fallback>
      </mc:AlternateContent>
    </w:r>
    <w:r>
      <w:t xml:space="preserve"> </w:t>
    </w:r>
  </w:p>
  <w:p w:rsidR="005125CA" w:rsidRDefault="005125CA">
    <w:pPr>
      <w:spacing w:line="259" w:lineRule="auto"/>
      <w:ind w:left="-170"/>
    </w:pPr>
    <w:r>
      <w:rPr>
        <w:sz w:val="2"/>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spacing w:after="160" w:line="259" w:lineRule="auto"/>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spacing w:after="160" w:line="259" w:lineRule="auto"/>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rsidP="00576B9B">
    <w:pPr>
      <w:tabs>
        <w:tab w:val="left" w:pos="1945"/>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rsidP="00576B9B">
    <w:pPr>
      <w:tabs>
        <w:tab w:val="left" w:pos="194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rsidP="00AD534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rsidP="00AD5341"/>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rsidP="00834F1D"/>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CA" w:rsidRDefault="005125CA" w:rsidP="00834F1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F2B21C64"/>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0AB10F7"/>
    <w:multiLevelType w:val="hybridMultilevel"/>
    <w:tmpl w:val="F524F6CC"/>
    <w:lvl w:ilvl="0" w:tplc="B79EACEE">
      <w:start w:val="1"/>
      <w:numFmt w:val="bullet"/>
      <w:lvlText w:val="•"/>
      <w:lvlJc w:val="left"/>
      <w:pPr>
        <w:ind w:left="1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924C038">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B7BAD8F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D95C61D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C202FC2">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FD09D8C">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A8A5A98">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9763FA2">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35C4488">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7067697"/>
    <w:multiLevelType w:val="hybridMultilevel"/>
    <w:tmpl w:val="B354150C"/>
    <w:lvl w:ilvl="0" w:tplc="D8D4BC1C">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680A8C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47ADCF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1083EC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AC5F3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AEA3E96">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6A4B992">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8C648B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278123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15:restartNumberingAfterBreak="0">
    <w:nsid w:val="1B5D6C32"/>
    <w:multiLevelType w:val="hybridMultilevel"/>
    <w:tmpl w:val="21B8E2D0"/>
    <w:lvl w:ilvl="0" w:tplc="EE0E4A6E">
      <w:start w:val="1"/>
      <w:numFmt w:val="decimal"/>
      <w:lvlText w:val="%1."/>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7E42558">
      <w:start w:val="1"/>
      <w:numFmt w:val="lowerLetter"/>
      <w:lvlText w:val="%2"/>
      <w:lvlJc w:val="left"/>
      <w:pPr>
        <w:ind w:left="1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760FDC4">
      <w:start w:val="1"/>
      <w:numFmt w:val="lowerRoman"/>
      <w:lvlText w:val="%3"/>
      <w:lvlJc w:val="left"/>
      <w:pPr>
        <w:ind w:left="1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F6289FA">
      <w:start w:val="1"/>
      <w:numFmt w:val="decimal"/>
      <w:lvlText w:val="%4"/>
      <w:lvlJc w:val="left"/>
      <w:pPr>
        <w:ind w:left="2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6848390">
      <w:start w:val="1"/>
      <w:numFmt w:val="lowerLetter"/>
      <w:lvlText w:val="%5"/>
      <w:lvlJc w:val="left"/>
      <w:pPr>
        <w:ind w:left="3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4EE80F6">
      <w:start w:val="1"/>
      <w:numFmt w:val="lowerRoman"/>
      <w:lvlText w:val="%6"/>
      <w:lvlJc w:val="left"/>
      <w:pPr>
        <w:ind w:left="4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286BF3A">
      <w:start w:val="1"/>
      <w:numFmt w:val="decimal"/>
      <w:lvlText w:val="%7"/>
      <w:lvlJc w:val="left"/>
      <w:pPr>
        <w:ind w:left="4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228A88E">
      <w:start w:val="1"/>
      <w:numFmt w:val="lowerLetter"/>
      <w:lvlText w:val="%8"/>
      <w:lvlJc w:val="left"/>
      <w:pPr>
        <w:ind w:left="5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E9CAB78">
      <w:start w:val="1"/>
      <w:numFmt w:val="lowerRoman"/>
      <w:lvlText w:val="%9"/>
      <w:lvlJc w:val="left"/>
      <w:pPr>
        <w:ind w:left="61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1D905E81"/>
    <w:multiLevelType w:val="hybridMultilevel"/>
    <w:tmpl w:val="D1A8AE94"/>
    <w:lvl w:ilvl="0" w:tplc="D42E9F5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537D05"/>
    <w:multiLevelType w:val="multilevel"/>
    <w:tmpl w:val="7200F0BA"/>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7"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9"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BC14DF6"/>
    <w:multiLevelType w:val="hybridMultilevel"/>
    <w:tmpl w:val="DC16E6C2"/>
    <w:lvl w:ilvl="0" w:tplc="D42E9F5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EAF21AA"/>
    <w:multiLevelType w:val="multilevel"/>
    <w:tmpl w:val="2D50BC1C"/>
    <w:numStyleLink w:val="ListGroupHeadings"/>
  </w:abstractNum>
  <w:abstractNum w:abstractNumId="22" w15:restartNumberingAfterBreak="0">
    <w:nsid w:val="326F0627"/>
    <w:multiLevelType w:val="multilevel"/>
    <w:tmpl w:val="E53E016E"/>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bullet"/>
      <w:pStyle w:val="Instructiontowritersbullet2"/>
      <w:lvlText w:val="­"/>
      <w:lvlJc w:val="left"/>
      <w:pPr>
        <w:tabs>
          <w:tab w:val="num" w:pos="567"/>
        </w:tabs>
        <w:ind w:left="567" w:hanging="283"/>
      </w:pPr>
      <w:rPr>
        <w:rFonts w:ascii="Courier New" w:hAnsi="Courier New"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81B2B5B"/>
    <w:multiLevelType w:val="hybridMultilevel"/>
    <w:tmpl w:val="FD044C0A"/>
    <w:lvl w:ilvl="0" w:tplc="8DF6AFB0">
      <w:start w:val="1"/>
      <w:numFmt w:val="decimal"/>
      <w:lvlText w:val="%1."/>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3CA3D20">
      <w:start w:val="1"/>
      <w:numFmt w:val="lowerLetter"/>
      <w:lvlText w:val="%2"/>
      <w:lvlJc w:val="left"/>
      <w:pPr>
        <w:ind w:left="1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3A64504">
      <w:start w:val="1"/>
      <w:numFmt w:val="lowerRoman"/>
      <w:lvlText w:val="%3"/>
      <w:lvlJc w:val="left"/>
      <w:pPr>
        <w:ind w:left="1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ADCB664">
      <w:start w:val="1"/>
      <w:numFmt w:val="decimal"/>
      <w:lvlText w:val="%4"/>
      <w:lvlJc w:val="left"/>
      <w:pPr>
        <w:ind w:left="2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A78AC80">
      <w:start w:val="1"/>
      <w:numFmt w:val="lowerLetter"/>
      <w:lvlText w:val="%5"/>
      <w:lvlJc w:val="left"/>
      <w:pPr>
        <w:ind w:left="3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5FEF2BA">
      <w:start w:val="1"/>
      <w:numFmt w:val="lowerRoman"/>
      <w:lvlText w:val="%6"/>
      <w:lvlJc w:val="left"/>
      <w:pPr>
        <w:ind w:left="4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8505AEE">
      <w:start w:val="1"/>
      <w:numFmt w:val="decimal"/>
      <w:lvlText w:val="%7"/>
      <w:lvlJc w:val="left"/>
      <w:pPr>
        <w:ind w:left="4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0ECB91C">
      <w:start w:val="1"/>
      <w:numFmt w:val="lowerLetter"/>
      <w:lvlText w:val="%8"/>
      <w:lvlJc w:val="left"/>
      <w:pPr>
        <w:ind w:left="5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2AA6B64">
      <w:start w:val="1"/>
      <w:numFmt w:val="lowerRoman"/>
      <w:lvlText w:val="%9"/>
      <w:lvlJc w:val="left"/>
      <w:pPr>
        <w:ind w:left="61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89F7376"/>
    <w:multiLevelType w:val="hybridMultilevel"/>
    <w:tmpl w:val="ABAA093A"/>
    <w:lvl w:ilvl="0" w:tplc="68D429B6">
      <w:start w:val="1"/>
      <w:numFmt w:val="bullet"/>
      <w:lvlText w:val="•"/>
      <w:lvlJc w:val="left"/>
      <w:pPr>
        <w:ind w:left="1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868B604">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7E21566">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517452A8">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40EC8C0">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21ABD72">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572EE0A6">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0E0B32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06E4D6E">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6" w15:restartNumberingAfterBreak="0">
    <w:nsid w:val="3B02749F"/>
    <w:multiLevelType w:val="hybridMultilevel"/>
    <w:tmpl w:val="9D660028"/>
    <w:lvl w:ilvl="0" w:tplc="5F24872A">
      <w:start w:val="1"/>
      <w:numFmt w:val="bullet"/>
      <w:lvlText w:val="•"/>
      <w:lvlJc w:val="left"/>
      <w:pPr>
        <w:ind w:left="2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4CA0D34">
      <w:start w:val="1"/>
      <w:numFmt w:val="bullet"/>
      <w:lvlText w:val="o"/>
      <w:lvlJc w:val="left"/>
      <w:pPr>
        <w:ind w:left="11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E5ACB26">
      <w:start w:val="1"/>
      <w:numFmt w:val="bullet"/>
      <w:lvlText w:val="▪"/>
      <w:lvlJc w:val="left"/>
      <w:pPr>
        <w:ind w:left="19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DEC4796">
      <w:start w:val="1"/>
      <w:numFmt w:val="bullet"/>
      <w:lvlText w:val="•"/>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5806CCE">
      <w:start w:val="1"/>
      <w:numFmt w:val="bullet"/>
      <w:lvlText w:val="o"/>
      <w:lvlJc w:val="left"/>
      <w:pPr>
        <w:ind w:left="33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5427B78">
      <w:start w:val="1"/>
      <w:numFmt w:val="bullet"/>
      <w:lvlText w:val="▪"/>
      <w:lvlJc w:val="left"/>
      <w:pPr>
        <w:ind w:left="40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A5C9240">
      <w:start w:val="1"/>
      <w:numFmt w:val="bullet"/>
      <w:lvlText w:val="•"/>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1D0956C">
      <w:start w:val="1"/>
      <w:numFmt w:val="bullet"/>
      <w:lvlText w:val="o"/>
      <w:lvlJc w:val="left"/>
      <w:pPr>
        <w:ind w:left="55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032A180">
      <w:start w:val="1"/>
      <w:numFmt w:val="bullet"/>
      <w:lvlText w:val="▪"/>
      <w:lvlJc w:val="left"/>
      <w:pPr>
        <w:ind w:left="62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3B986DCA"/>
    <w:multiLevelType w:val="hybridMultilevel"/>
    <w:tmpl w:val="7832B57E"/>
    <w:lvl w:ilvl="0" w:tplc="3B6C1E5E">
      <w:start w:val="1"/>
      <w:numFmt w:val="bullet"/>
      <w:lvlText w:val="•"/>
      <w:lvlJc w:val="left"/>
      <w:pPr>
        <w:ind w:left="2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4CC5290">
      <w:start w:val="1"/>
      <w:numFmt w:val="bullet"/>
      <w:lvlText w:val="o"/>
      <w:lvlJc w:val="left"/>
      <w:pPr>
        <w:ind w:left="11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6D46C9C">
      <w:start w:val="1"/>
      <w:numFmt w:val="bullet"/>
      <w:lvlText w:val="▪"/>
      <w:lvlJc w:val="left"/>
      <w:pPr>
        <w:ind w:left="19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A467454">
      <w:start w:val="1"/>
      <w:numFmt w:val="bullet"/>
      <w:lvlText w:val="•"/>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C7C7454">
      <w:start w:val="1"/>
      <w:numFmt w:val="bullet"/>
      <w:lvlText w:val="o"/>
      <w:lvlJc w:val="left"/>
      <w:pPr>
        <w:ind w:left="33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40BA6C06">
      <w:start w:val="1"/>
      <w:numFmt w:val="bullet"/>
      <w:lvlText w:val="▪"/>
      <w:lvlJc w:val="left"/>
      <w:pPr>
        <w:ind w:left="40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EE4EAB0">
      <w:start w:val="1"/>
      <w:numFmt w:val="bullet"/>
      <w:lvlText w:val="•"/>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8C61174">
      <w:start w:val="1"/>
      <w:numFmt w:val="bullet"/>
      <w:lvlText w:val="o"/>
      <w:lvlJc w:val="left"/>
      <w:pPr>
        <w:ind w:left="55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038AC9E">
      <w:start w:val="1"/>
      <w:numFmt w:val="bullet"/>
      <w:lvlText w:val="▪"/>
      <w:lvlJc w:val="left"/>
      <w:pPr>
        <w:ind w:left="62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8"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427C4228"/>
    <w:multiLevelType w:val="hybridMultilevel"/>
    <w:tmpl w:val="526434D6"/>
    <w:lvl w:ilvl="0" w:tplc="55065D3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F8F39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B020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921F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B6C7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5497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9C64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965B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E2E2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3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32" w15:restartNumberingAfterBreak="0">
    <w:nsid w:val="48B8022C"/>
    <w:multiLevelType w:val="hybridMultilevel"/>
    <w:tmpl w:val="174284C2"/>
    <w:lvl w:ilvl="0" w:tplc="B0C8631C">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344189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CF89AE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F762D4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D988C1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022DBD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8D07B4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43CE4B0">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47CD14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5A31B35"/>
    <w:multiLevelType w:val="multilevel"/>
    <w:tmpl w:val="670C9992"/>
    <w:styleLink w:val="ListGroupListNumberBullets"/>
    <w:lvl w:ilvl="0">
      <w:start w:val="1"/>
      <w:numFmt w:val="decimal"/>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35"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6" w15:restartNumberingAfterBreak="0">
    <w:nsid w:val="5ED60F19"/>
    <w:multiLevelType w:val="multilevel"/>
    <w:tmpl w:val="B3684910"/>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13E5AFF"/>
    <w:multiLevelType w:val="hybridMultilevel"/>
    <w:tmpl w:val="5F34C604"/>
    <w:lvl w:ilvl="0" w:tplc="39501D48">
      <w:start w:val="1"/>
      <w:numFmt w:val="bullet"/>
      <w:lvlText w:val="•"/>
      <w:lvlJc w:val="left"/>
      <w:pPr>
        <w:ind w:left="2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6B6C55E">
      <w:start w:val="1"/>
      <w:numFmt w:val="bullet"/>
      <w:lvlText w:val="o"/>
      <w:lvlJc w:val="left"/>
      <w:pPr>
        <w:ind w:left="11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0F402AC">
      <w:start w:val="1"/>
      <w:numFmt w:val="bullet"/>
      <w:lvlText w:val="▪"/>
      <w:lvlJc w:val="left"/>
      <w:pPr>
        <w:ind w:left="19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3FE650A">
      <w:start w:val="1"/>
      <w:numFmt w:val="bullet"/>
      <w:lvlText w:val="•"/>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5B61AAA">
      <w:start w:val="1"/>
      <w:numFmt w:val="bullet"/>
      <w:lvlText w:val="o"/>
      <w:lvlJc w:val="left"/>
      <w:pPr>
        <w:ind w:left="33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404E5272">
      <w:start w:val="1"/>
      <w:numFmt w:val="bullet"/>
      <w:lvlText w:val="▪"/>
      <w:lvlJc w:val="left"/>
      <w:pPr>
        <w:ind w:left="40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78CA548A">
      <w:start w:val="1"/>
      <w:numFmt w:val="bullet"/>
      <w:lvlText w:val="•"/>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292717E">
      <w:start w:val="1"/>
      <w:numFmt w:val="bullet"/>
      <w:lvlText w:val="o"/>
      <w:lvlJc w:val="left"/>
      <w:pPr>
        <w:ind w:left="55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27C5BE6">
      <w:start w:val="1"/>
      <w:numFmt w:val="bullet"/>
      <w:lvlText w:val="▪"/>
      <w:lvlJc w:val="left"/>
      <w:pPr>
        <w:ind w:left="62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8" w15:restartNumberingAfterBreak="0">
    <w:nsid w:val="660C273D"/>
    <w:multiLevelType w:val="hybridMultilevel"/>
    <w:tmpl w:val="08FCEBF0"/>
    <w:lvl w:ilvl="0" w:tplc="D9C26916">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5F800B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F42436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6F6B25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2E2D426">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B84503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CA2120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1CB86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C6A2B1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66522377"/>
    <w:multiLevelType w:val="multilevel"/>
    <w:tmpl w:val="26ACEC32"/>
    <w:styleLink w:val="ListGroupHeadings1"/>
    <w:lvl w:ilvl="0">
      <w:start w:val="1"/>
      <w:numFmt w:val="decimal"/>
      <w:lvlText w:val="%1"/>
      <w:lvlJc w:val="right"/>
      <w:pPr>
        <w:ind w:left="0" w:firstLine="363"/>
      </w:pPr>
      <w:rPr>
        <w:rFonts w:hint="default"/>
      </w:rPr>
    </w:lvl>
    <w:lvl w:ilvl="1">
      <w:start w:val="1"/>
      <w:numFmt w:val="decimal"/>
      <w:lvlText w:val="%1.%2"/>
      <w:lvlJc w:val="right"/>
      <w:pPr>
        <w:ind w:left="0" w:firstLine="363"/>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418"/>
        </w:tabs>
        <w:ind w:left="1418" w:hanging="1134"/>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0" w15:restartNumberingAfterBreak="0">
    <w:nsid w:val="66C1583C"/>
    <w:multiLevelType w:val="multilevel"/>
    <w:tmpl w:val="3FA6516E"/>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7C260370"/>
    <w:multiLevelType w:val="hybridMultilevel"/>
    <w:tmpl w:val="392A5DE8"/>
    <w:lvl w:ilvl="0" w:tplc="F91060D8">
      <w:start w:val="1"/>
      <w:numFmt w:val="bullet"/>
      <w:lvlText w:val="•"/>
      <w:lvlJc w:val="left"/>
      <w:pPr>
        <w:ind w:left="1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88F556">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C1C79E2">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634A458">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75E42B2">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D9083BE">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27E65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F249CEA">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080A218">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2" w15:restartNumberingAfterBreak="0">
    <w:nsid w:val="7CCF6F17"/>
    <w:multiLevelType w:val="multilevel"/>
    <w:tmpl w:val="31504AF4"/>
    <w:styleLink w:val="Numbered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abstractNum w:abstractNumId="43" w15:restartNumberingAfterBreak="0">
    <w:nsid w:val="7E1C4C9C"/>
    <w:multiLevelType w:val="hybridMultilevel"/>
    <w:tmpl w:val="8C1ED86E"/>
    <w:lvl w:ilvl="0" w:tplc="B046EBE8">
      <w:start w:val="1"/>
      <w:numFmt w:val="bullet"/>
      <w:lvlText w:val="•"/>
      <w:lvlJc w:val="left"/>
      <w:pPr>
        <w:ind w:left="2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1D2363E">
      <w:start w:val="1"/>
      <w:numFmt w:val="bullet"/>
      <w:lvlText w:val="o"/>
      <w:lvlJc w:val="left"/>
      <w:pPr>
        <w:ind w:left="11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35A4AE8">
      <w:start w:val="1"/>
      <w:numFmt w:val="bullet"/>
      <w:lvlText w:val="▪"/>
      <w:lvlJc w:val="left"/>
      <w:pPr>
        <w:ind w:left="19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8B28362">
      <w:start w:val="1"/>
      <w:numFmt w:val="bullet"/>
      <w:lvlText w:val="•"/>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8ACC752">
      <w:start w:val="1"/>
      <w:numFmt w:val="bullet"/>
      <w:lvlText w:val="o"/>
      <w:lvlJc w:val="left"/>
      <w:pPr>
        <w:ind w:left="33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13695A2">
      <w:start w:val="1"/>
      <w:numFmt w:val="bullet"/>
      <w:lvlText w:val="▪"/>
      <w:lvlJc w:val="left"/>
      <w:pPr>
        <w:ind w:left="40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37C2730">
      <w:start w:val="1"/>
      <w:numFmt w:val="bullet"/>
      <w:lvlText w:val="•"/>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DF6DB84">
      <w:start w:val="1"/>
      <w:numFmt w:val="bullet"/>
      <w:lvlText w:val="o"/>
      <w:lvlJc w:val="left"/>
      <w:pPr>
        <w:ind w:left="55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07256C0">
      <w:start w:val="1"/>
      <w:numFmt w:val="bullet"/>
      <w:lvlText w:val="▪"/>
      <w:lvlJc w:val="left"/>
      <w:pPr>
        <w:ind w:left="62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25"/>
  </w:num>
  <w:num w:numId="2">
    <w:abstractNumId w:val="28"/>
  </w:num>
  <w:num w:numId="3">
    <w:abstractNumId w:val="7"/>
  </w:num>
  <w:num w:numId="4">
    <w:abstractNumId w:val="33"/>
  </w:num>
  <w:num w:numId="5">
    <w:abstractNumId w:val="16"/>
  </w:num>
  <w:num w:numId="6">
    <w:abstractNumId w:val="11"/>
  </w:num>
  <w:num w:numId="7">
    <w:abstractNumId w:val="3"/>
  </w:num>
  <w:num w:numId="8">
    <w:abstractNumId w:val="2"/>
  </w:num>
  <w:num w:numId="9">
    <w:abstractNumId w:val="1"/>
  </w:num>
  <w:num w:numId="10">
    <w:abstractNumId w:val="0"/>
  </w:num>
  <w:num w:numId="11">
    <w:abstractNumId w:val="8"/>
  </w:num>
  <w:num w:numId="12">
    <w:abstractNumId w:val="40"/>
  </w:num>
  <w:num w:numId="13">
    <w:abstractNumId w:val="36"/>
  </w:num>
  <w:num w:numId="14">
    <w:abstractNumId w:val="30"/>
  </w:num>
  <w:num w:numId="15">
    <w:abstractNumId w:val="5"/>
  </w:num>
  <w:num w:numId="16">
    <w:abstractNumId w:val="19"/>
  </w:num>
  <w:num w:numId="17">
    <w:abstractNumId w:val="35"/>
  </w:num>
  <w:num w:numId="18">
    <w:abstractNumId w:val="10"/>
  </w:num>
  <w:num w:numId="19">
    <w:abstractNumId w:val="31"/>
  </w:num>
  <w:num w:numId="20">
    <w:abstractNumId w:val="6"/>
  </w:num>
  <w:num w:numId="21">
    <w:abstractNumId w:val="13"/>
  </w:num>
  <w:num w:numId="22">
    <w:abstractNumId w:val="4"/>
  </w:num>
  <w:num w:numId="23">
    <w:abstractNumId w:val="34"/>
  </w:num>
  <w:num w:numId="24">
    <w:abstractNumId w:val="18"/>
  </w:num>
  <w:num w:numId="25">
    <w:abstractNumId w:val="17"/>
  </w:num>
  <w:num w:numId="26">
    <w:abstractNumId w:val="21"/>
  </w:num>
  <w:num w:numId="27">
    <w:abstractNumId w:val="18"/>
  </w:num>
  <w:num w:numId="28">
    <w:abstractNumId w:val="17"/>
  </w:num>
  <w:num w:numId="29">
    <w:abstractNumId w:val="42"/>
  </w:num>
  <w:num w:numId="30">
    <w:abstractNumId w:val="39"/>
  </w:num>
  <w:num w:numId="31">
    <w:abstractNumId w:val="22"/>
  </w:num>
  <w:num w:numId="32">
    <w:abstractNumId w:val="13"/>
  </w:num>
  <w:num w:numId="33">
    <w:abstractNumId w:val="38"/>
  </w:num>
  <w:num w:numId="34">
    <w:abstractNumId w:val="23"/>
  </w:num>
  <w:num w:numId="35">
    <w:abstractNumId w:val="14"/>
  </w:num>
  <w:num w:numId="36">
    <w:abstractNumId w:val="32"/>
  </w:num>
  <w:num w:numId="37">
    <w:abstractNumId w:val="12"/>
  </w:num>
  <w:num w:numId="38">
    <w:abstractNumId w:val="29"/>
  </w:num>
  <w:num w:numId="39">
    <w:abstractNumId w:val="20"/>
  </w:num>
  <w:num w:numId="40">
    <w:abstractNumId w:val="15"/>
  </w:num>
  <w:num w:numId="41">
    <w:abstractNumId w:val="27"/>
  </w:num>
  <w:num w:numId="42">
    <w:abstractNumId w:val="37"/>
  </w:num>
  <w:num w:numId="43">
    <w:abstractNumId w:val="43"/>
  </w:num>
  <w:num w:numId="44">
    <w:abstractNumId w:val="26"/>
  </w:num>
  <w:num w:numId="45">
    <w:abstractNumId w:val="9"/>
  </w:num>
  <w:num w:numId="46">
    <w:abstractNumId w:val="24"/>
  </w:num>
  <w:num w:numId="47">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inkAnnotation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9B"/>
    <w:rsid w:val="000008D3"/>
    <w:rsid w:val="00002D5B"/>
    <w:rsid w:val="00003A28"/>
    <w:rsid w:val="00004943"/>
    <w:rsid w:val="00004C03"/>
    <w:rsid w:val="00005951"/>
    <w:rsid w:val="000063A2"/>
    <w:rsid w:val="00007284"/>
    <w:rsid w:val="00007DCE"/>
    <w:rsid w:val="0001008C"/>
    <w:rsid w:val="0001015F"/>
    <w:rsid w:val="00012F98"/>
    <w:rsid w:val="00014633"/>
    <w:rsid w:val="00015593"/>
    <w:rsid w:val="000159C5"/>
    <w:rsid w:val="00017F0E"/>
    <w:rsid w:val="0002293A"/>
    <w:rsid w:val="00022C26"/>
    <w:rsid w:val="000241FD"/>
    <w:rsid w:val="0002449F"/>
    <w:rsid w:val="00024678"/>
    <w:rsid w:val="00025ADB"/>
    <w:rsid w:val="00025D91"/>
    <w:rsid w:val="000262B9"/>
    <w:rsid w:val="00026CD4"/>
    <w:rsid w:val="00027566"/>
    <w:rsid w:val="000309D1"/>
    <w:rsid w:val="00030C79"/>
    <w:rsid w:val="00031333"/>
    <w:rsid w:val="000315C3"/>
    <w:rsid w:val="000325B9"/>
    <w:rsid w:val="00032D0A"/>
    <w:rsid w:val="000331E1"/>
    <w:rsid w:val="00033AB9"/>
    <w:rsid w:val="00034057"/>
    <w:rsid w:val="000341EC"/>
    <w:rsid w:val="00034FDF"/>
    <w:rsid w:val="000361A1"/>
    <w:rsid w:val="000373BF"/>
    <w:rsid w:val="00037845"/>
    <w:rsid w:val="00037A25"/>
    <w:rsid w:val="00037C3C"/>
    <w:rsid w:val="00040BD4"/>
    <w:rsid w:val="00040EF5"/>
    <w:rsid w:val="00042024"/>
    <w:rsid w:val="00042087"/>
    <w:rsid w:val="00042417"/>
    <w:rsid w:val="00042AA1"/>
    <w:rsid w:val="00042FEB"/>
    <w:rsid w:val="00043A66"/>
    <w:rsid w:val="000444D6"/>
    <w:rsid w:val="00045335"/>
    <w:rsid w:val="00046052"/>
    <w:rsid w:val="00046235"/>
    <w:rsid w:val="000477FE"/>
    <w:rsid w:val="00047FDE"/>
    <w:rsid w:val="00050998"/>
    <w:rsid w:val="00054C08"/>
    <w:rsid w:val="00054C8A"/>
    <w:rsid w:val="00055FD1"/>
    <w:rsid w:val="000561EE"/>
    <w:rsid w:val="00061B88"/>
    <w:rsid w:val="00062E0A"/>
    <w:rsid w:val="00064BAC"/>
    <w:rsid w:val="000658BE"/>
    <w:rsid w:val="00065D7D"/>
    <w:rsid w:val="00065ECD"/>
    <w:rsid w:val="0006798A"/>
    <w:rsid w:val="00067EC9"/>
    <w:rsid w:val="00070242"/>
    <w:rsid w:val="00070735"/>
    <w:rsid w:val="00072AAF"/>
    <w:rsid w:val="00072BD2"/>
    <w:rsid w:val="0007358E"/>
    <w:rsid w:val="00073C40"/>
    <w:rsid w:val="00074554"/>
    <w:rsid w:val="0007491E"/>
    <w:rsid w:val="00074F2E"/>
    <w:rsid w:val="00075317"/>
    <w:rsid w:val="000764AB"/>
    <w:rsid w:val="000775A1"/>
    <w:rsid w:val="00082254"/>
    <w:rsid w:val="0008306F"/>
    <w:rsid w:val="00083261"/>
    <w:rsid w:val="000843E5"/>
    <w:rsid w:val="000852BB"/>
    <w:rsid w:val="000855AC"/>
    <w:rsid w:val="0008637B"/>
    <w:rsid w:val="00086AA0"/>
    <w:rsid w:val="00087B97"/>
    <w:rsid w:val="0009024E"/>
    <w:rsid w:val="00091F28"/>
    <w:rsid w:val="00092359"/>
    <w:rsid w:val="0009263B"/>
    <w:rsid w:val="000928DA"/>
    <w:rsid w:val="00094BC9"/>
    <w:rsid w:val="00095897"/>
    <w:rsid w:val="00096724"/>
    <w:rsid w:val="00096DF2"/>
    <w:rsid w:val="000A0228"/>
    <w:rsid w:val="000A0C90"/>
    <w:rsid w:val="000A2FA0"/>
    <w:rsid w:val="000A398B"/>
    <w:rsid w:val="000A3AEE"/>
    <w:rsid w:val="000A42CA"/>
    <w:rsid w:val="000A4356"/>
    <w:rsid w:val="000A45FA"/>
    <w:rsid w:val="000A462D"/>
    <w:rsid w:val="000A4B67"/>
    <w:rsid w:val="000A4CC7"/>
    <w:rsid w:val="000A6C2D"/>
    <w:rsid w:val="000A7ABD"/>
    <w:rsid w:val="000A7D63"/>
    <w:rsid w:val="000B0010"/>
    <w:rsid w:val="000B10B7"/>
    <w:rsid w:val="000B14F2"/>
    <w:rsid w:val="000B2156"/>
    <w:rsid w:val="000B3026"/>
    <w:rsid w:val="000B468B"/>
    <w:rsid w:val="000B4916"/>
    <w:rsid w:val="000B5DBD"/>
    <w:rsid w:val="000B6679"/>
    <w:rsid w:val="000B6FFB"/>
    <w:rsid w:val="000B7E3F"/>
    <w:rsid w:val="000C00C7"/>
    <w:rsid w:val="000C0932"/>
    <w:rsid w:val="000C0A8F"/>
    <w:rsid w:val="000C0C54"/>
    <w:rsid w:val="000C1B7A"/>
    <w:rsid w:val="000C1C9A"/>
    <w:rsid w:val="000C256B"/>
    <w:rsid w:val="000C29BE"/>
    <w:rsid w:val="000C3195"/>
    <w:rsid w:val="000C4E50"/>
    <w:rsid w:val="000C6089"/>
    <w:rsid w:val="000C68DC"/>
    <w:rsid w:val="000C748A"/>
    <w:rsid w:val="000D0769"/>
    <w:rsid w:val="000D1A7B"/>
    <w:rsid w:val="000D2D55"/>
    <w:rsid w:val="000D2D7A"/>
    <w:rsid w:val="000D3ADD"/>
    <w:rsid w:val="000D3FC3"/>
    <w:rsid w:val="000D3FF1"/>
    <w:rsid w:val="000D4545"/>
    <w:rsid w:val="000D455D"/>
    <w:rsid w:val="000D4F32"/>
    <w:rsid w:val="000D4F7D"/>
    <w:rsid w:val="000D730B"/>
    <w:rsid w:val="000D7E9F"/>
    <w:rsid w:val="000E0468"/>
    <w:rsid w:val="000E1854"/>
    <w:rsid w:val="000E30B6"/>
    <w:rsid w:val="000E3F33"/>
    <w:rsid w:val="000E4037"/>
    <w:rsid w:val="000E6134"/>
    <w:rsid w:val="000E72F4"/>
    <w:rsid w:val="000E7372"/>
    <w:rsid w:val="000E73AE"/>
    <w:rsid w:val="000F16C4"/>
    <w:rsid w:val="000F19CA"/>
    <w:rsid w:val="000F2AB9"/>
    <w:rsid w:val="000F3BC2"/>
    <w:rsid w:val="000F53CA"/>
    <w:rsid w:val="000F58F6"/>
    <w:rsid w:val="000F6BAC"/>
    <w:rsid w:val="000F6D2D"/>
    <w:rsid w:val="000F75C1"/>
    <w:rsid w:val="001007C1"/>
    <w:rsid w:val="00102989"/>
    <w:rsid w:val="001029DB"/>
    <w:rsid w:val="001032F6"/>
    <w:rsid w:val="001037D3"/>
    <w:rsid w:val="001060DA"/>
    <w:rsid w:val="00106F3D"/>
    <w:rsid w:val="00107377"/>
    <w:rsid w:val="0010758A"/>
    <w:rsid w:val="00107CBB"/>
    <w:rsid w:val="00110FF2"/>
    <w:rsid w:val="00111134"/>
    <w:rsid w:val="001115B0"/>
    <w:rsid w:val="001132AB"/>
    <w:rsid w:val="00114513"/>
    <w:rsid w:val="00114775"/>
    <w:rsid w:val="00114DE1"/>
    <w:rsid w:val="00115EF4"/>
    <w:rsid w:val="00116A28"/>
    <w:rsid w:val="00117590"/>
    <w:rsid w:val="0012008C"/>
    <w:rsid w:val="001204A9"/>
    <w:rsid w:val="0012282B"/>
    <w:rsid w:val="00122C2C"/>
    <w:rsid w:val="00122FC3"/>
    <w:rsid w:val="00123236"/>
    <w:rsid w:val="0012333B"/>
    <w:rsid w:val="00123CCA"/>
    <w:rsid w:val="00124A32"/>
    <w:rsid w:val="001251E1"/>
    <w:rsid w:val="001252D9"/>
    <w:rsid w:val="001261F0"/>
    <w:rsid w:val="001273E1"/>
    <w:rsid w:val="001277D7"/>
    <w:rsid w:val="00127B4D"/>
    <w:rsid w:val="00130DB0"/>
    <w:rsid w:val="001319BC"/>
    <w:rsid w:val="00132A42"/>
    <w:rsid w:val="001335A3"/>
    <w:rsid w:val="00133612"/>
    <w:rsid w:val="00133FAE"/>
    <w:rsid w:val="00134372"/>
    <w:rsid w:val="00134DDD"/>
    <w:rsid w:val="00134F7D"/>
    <w:rsid w:val="00135C0D"/>
    <w:rsid w:val="0013653C"/>
    <w:rsid w:val="001366B6"/>
    <w:rsid w:val="00137B52"/>
    <w:rsid w:val="001411A8"/>
    <w:rsid w:val="001413CB"/>
    <w:rsid w:val="00141CE4"/>
    <w:rsid w:val="00142006"/>
    <w:rsid w:val="00142FE3"/>
    <w:rsid w:val="00143504"/>
    <w:rsid w:val="00144150"/>
    <w:rsid w:val="00144DBB"/>
    <w:rsid w:val="001451E0"/>
    <w:rsid w:val="00145B46"/>
    <w:rsid w:val="0014698D"/>
    <w:rsid w:val="00150FB8"/>
    <w:rsid w:val="00153416"/>
    <w:rsid w:val="0015475A"/>
    <w:rsid w:val="00154792"/>
    <w:rsid w:val="001553EE"/>
    <w:rsid w:val="00155943"/>
    <w:rsid w:val="001577DF"/>
    <w:rsid w:val="00157902"/>
    <w:rsid w:val="00157B46"/>
    <w:rsid w:val="00157FAC"/>
    <w:rsid w:val="00160030"/>
    <w:rsid w:val="0016009A"/>
    <w:rsid w:val="001604AE"/>
    <w:rsid w:val="001605FD"/>
    <w:rsid w:val="0016243C"/>
    <w:rsid w:val="00162532"/>
    <w:rsid w:val="00164A62"/>
    <w:rsid w:val="00164B9A"/>
    <w:rsid w:val="00166AF9"/>
    <w:rsid w:val="00166FD6"/>
    <w:rsid w:val="00167EBB"/>
    <w:rsid w:val="001703E9"/>
    <w:rsid w:val="00170EBF"/>
    <w:rsid w:val="0017333A"/>
    <w:rsid w:val="0017546C"/>
    <w:rsid w:val="00175F19"/>
    <w:rsid w:val="001763A2"/>
    <w:rsid w:val="00176C62"/>
    <w:rsid w:val="00177A55"/>
    <w:rsid w:val="00180390"/>
    <w:rsid w:val="00180EDC"/>
    <w:rsid w:val="001811A4"/>
    <w:rsid w:val="00181A58"/>
    <w:rsid w:val="00181ED0"/>
    <w:rsid w:val="00181FC2"/>
    <w:rsid w:val="00182A1B"/>
    <w:rsid w:val="00185766"/>
    <w:rsid w:val="001869ED"/>
    <w:rsid w:val="001870E2"/>
    <w:rsid w:val="0019007E"/>
    <w:rsid w:val="00191EEA"/>
    <w:rsid w:val="001944D1"/>
    <w:rsid w:val="0019458A"/>
    <w:rsid w:val="00195644"/>
    <w:rsid w:val="00195943"/>
    <w:rsid w:val="001974B5"/>
    <w:rsid w:val="00197CEA"/>
    <w:rsid w:val="001A0456"/>
    <w:rsid w:val="001A0811"/>
    <w:rsid w:val="001A08D6"/>
    <w:rsid w:val="001A1B9A"/>
    <w:rsid w:val="001A23B0"/>
    <w:rsid w:val="001A2465"/>
    <w:rsid w:val="001A35FF"/>
    <w:rsid w:val="001A396D"/>
    <w:rsid w:val="001A47EB"/>
    <w:rsid w:val="001A51A3"/>
    <w:rsid w:val="001A6424"/>
    <w:rsid w:val="001A717E"/>
    <w:rsid w:val="001B0A4B"/>
    <w:rsid w:val="001B0CF2"/>
    <w:rsid w:val="001B16DC"/>
    <w:rsid w:val="001B1919"/>
    <w:rsid w:val="001B2F6C"/>
    <w:rsid w:val="001B4714"/>
    <w:rsid w:val="001B5C0D"/>
    <w:rsid w:val="001B5F92"/>
    <w:rsid w:val="001B6D39"/>
    <w:rsid w:val="001C0252"/>
    <w:rsid w:val="001C081D"/>
    <w:rsid w:val="001C18E6"/>
    <w:rsid w:val="001C24A0"/>
    <w:rsid w:val="001C2645"/>
    <w:rsid w:val="001C3385"/>
    <w:rsid w:val="001C33B0"/>
    <w:rsid w:val="001C363B"/>
    <w:rsid w:val="001C472B"/>
    <w:rsid w:val="001C4848"/>
    <w:rsid w:val="001C68DC"/>
    <w:rsid w:val="001C6964"/>
    <w:rsid w:val="001C6D32"/>
    <w:rsid w:val="001C7DF9"/>
    <w:rsid w:val="001D09F5"/>
    <w:rsid w:val="001D260F"/>
    <w:rsid w:val="001D2FEF"/>
    <w:rsid w:val="001D71C1"/>
    <w:rsid w:val="001D725C"/>
    <w:rsid w:val="001D7765"/>
    <w:rsid w:val="001E0CD8"/>
    <w:rsid w:val="001E19FE"/>
    <w:rsid w:val="001E30D3"/>
    <w:rsid w:val="001E3966"/>
    <w:rsid w:val="001E654C"/>
    <w:rsid w:val="001E7392"/>
    <w:rsid w:val="001E7BC8"/>
    <w:rsid w:val="001F0BA2"/>
    <w:rsid w:val="001F1B4A"/>
    <w:rsid w:val="001F1BDA"/>
    <w:rsid w:val="001F2053"/>
    <w:rsid w:val="001F2137"/>
    <w:rsid w:val="001F234E"/>
    <w:rsid w:val="001F279C"/>
    <w:rsid w:val="001F3875"/>
    <w:rsid w:val="001F3DB7"/>
    <w:rsid w:val="001F4623"/>
    <w:rsid w:val="001F4999"/>
    <w:rsid w:val="001F511F"/>
    <w:rsid w:val="001F5484"/>
    <w:rsid w:val="001F6929"/>
    <w:rsid w:val="00200581"/>
    <w:rsid w:val="002009F0"/>
    <w:rsid w:val="00200F7F"/>
    <w:rsid w:val="00201219"/>
    <w:rsid w:val="00201EBE"/>
    <w:rsid w:val="002037BC"/>
    <w:rsid w:val="0020381C"/>
    <w:rsid w:val="002048D5"/>
    <w:rsid w:val="002056A9"/>
    <w:rsid w:val="00205852"/>
    <w:rsid w:val="00207B93"/>
    <w:rsid w:val="00210836"/>
    <w:rsid w:val="00210ADD"/>
    <w:rsid w:val="00212851"/>
    <w:rsid w:val="002140C2"/>
    <w:rsid w:val="0021566A"/>
    <w:rsid w:val="00215920"/>
    <w:rsid w:val="00216149"/>
    <w:rsid w:val="00216E33"/>
    <w:rsid w:val="00216FCD"/>
    <w:rsid w:val="00220F4E"/>
    <w:rsid w:val="00221C9C"/>
    <w:rsid w:val="002221A0"/>
    <w:rsid w:val="002227CB"/>
    <w:rsid w:val="00222DE4"/>
    <w:rsid w:val="00223081"/>
    <w:rsid w:val="0022330E"/>
    <w:rsid w:val="00224115"/>
    <w:rsid w:val="00224BC4"/>
    <w:rsid w:val="00224D0A"/>
    <w:rsid w:val="0022555C"/>
    <w:rsid w:val="0022583B"/>
    <w:rsid w:val="00225F7C"/>
    <w:rsid w:val="00226E53"/>
    <w:rsid w:val="00227B1B"/>
    <w:rsid w:val="00227C2B"/>
    <w:rsid w:val="00230B51"/>
    <w:rsid w:val="00230CBD"/>
    <w:rsid w:val="0023161D"/>
    <w:rsid w:val="00231773"/>
    <w:rsid w:val="002320E6"/>
    <w:rsid w:val="00233091"/>
    <w:rsid w:val="00234147"/>
    <w:rsid w:val="00234797"/>
    <w:rsid w:val="002357F2"/>
    <w:rsid w:val="00235ADC"/>
    <w:rsid w:val="00235B92"/>
    <w:rsid w:val="00236821"/>
    <w:rsid w:val="00236AFA"/>
    <w:rsid w:val="002406AA"/>
    <w:rsid w:val="00240887"/>
    <w:rsid w:val="00240AF6"/>
    <w:rsid w:val="002438FA"/>
    <w:rsid w:val="00243FCB"/>
    <w:rsid w:val="002449A8"/>
    <w:rsid w:val="0024651E"/>
    <w:rsid w:val="00247EA5"/>
    <w:rsid w:val="002508BD"/>
    <w:rsid w:val="002509FE"/>
    <w:rsid w:val="00250CB0"/>
    <w:rsid w:val="002512F3"/>
    <w:rsid w:val="00251809"/>
    <w:rsid w:val="00253C6B"/>
    <w:rsid w:val="0025440C"/>
    <w:rsid w:val="002562FE"/>
    <w:rsid w:val="002576DE"/>
    <w:rsid w:val="0025788C"/>
    <w:rsid w:val="00260486"/>
    <w:rsid w:val="002611B4"/>
    <w:rsid w:val="00261538"/>
    <w:rsid w:val="002616D1"/>
    <w:rsid w:val="0026298D"/>
    <w:rsid w:val="002640BF"/>
    <w:rsid w:val="00264110"/>
    <w:rsid w:val="0026430A"/>
    <w:rsid w:val="0026466F"/>
    <w:rsid w:val="00264823"/>
    <w:rsid w:val="00264B8F"/>
    <w:rsid w:val="00265885"/>
    <w:rsid w:val="00265F5E"/>
    <w:rsid w:val="00266B5B"/>
    <w:rsid w:val="00266D57"/>
    <w:rsid w:val="00267AF3"/>
    <w:rsid w:val="00270181"/>
    <w:rsid w:val="00270E23"/>
    <w:rsid w:val="00271A2D"/>
    <w:rsid w:val="002730CB"/>
    <w:rsid w:val="00273408"/>
    <w:rsid w:val="002752E9"/>
    <w:rsid w:val="00277264"/>
    <w:rsid w:val="002774D4"/>
    <w:rsid w:val="002802A7"/>
    <w:rsid w:val="00280C62"/>
    <w:rsid w:val="00281C76"/>
    <w:rsid w:val="00282768"/>
    <w:rsid w:val="0028380E"/>
    <w:rsid w:val="002841E3"/>
    <w:rsid w:val="002842FD"/>
    <w:rsid w:val="00284AA4"/>
    <w:rsid w:val="00284ACE"/>
    <w:rsid w:val="00284FD2"/>
    <w:rsid w:val="0028548D"/>
    <w:rsid w:val="00286A7F"/>
    <w:rsid w:val="00286C90"/>
    <w:rsid w:val="00286FB9"/>
    <w:rsid w:val="002877DE"/>
    <w:rsid w:val="00287E3C"/>
    <w:rsid w:val="00291D07"/>
    <w:rsid w:val="002931B5"/>
    <w:rsid w:val="0029403E"/>
    <w:rsid w:val="00294142"/>
    <w:rsid w:val="002972A8"/>
    <w:rsid w:val="00297570"/>
    <w:rsid w:val="002A03EF"/>
    <w:rsid w:val="002A048C"/>
    <w:rsid w:val="002A061D"/>
    <w:rsid w:val="002A070B"/>
    <w:rsid w:val="002A18C6"/>
    <w:rsid w:val="002A1BF9"/>
    <w:rsid w:val="002A2C14"/>
    <w:rsid w:val="002A3F54"/>
    <w:rsid w:val="002A4B6B"/>
    <w:rsid w:val="002A5777"/>
    <w:rsid w:val="002A67CF"/>
    <w:rsid w:val="002A67ED"/>
    <w:rsid w:val="002A76C9"/>
    <w:rsid w:val="002A7AAC"/>
    <w:rsid w:val="002B0297"/>
    <w:rsid w:val="002B1508"/>
    <w:rsid w:val="002B2B5F"/>
    <w:rsid w:val="002B3271"/>
    <w:rsid w:val="002B3C50"/>
    <w:rsid w:val="002B3E3A"/>
    <w:rsid w:val="002B4257"/>
    <w:rsid w:val="002B56B1"/>
    <w:rsid w:val="002B598F"/>
    <w:rsid w:val="002B69B1"/>
    <w:rsid w:val="002C0507"/>
    <w:rsid w:val="002C0BE1"/>
    <w:rsid w:val="002C11F1"/>
    <w:rsid w:val="002C1251"/>
    <w:rsid w:val="002C1CE8"/>
    <w:rsid w:val="002C1F67"/>
    <w:rsid w:val="002C3BFF"/>
    <w:rsid w:val="002C6AFD"/>
    <w:rsid w:val="002C6E43"/>
    <w:rsid w:val="002D05D8"/>
    <w:rsid w:val="002D27F6"/>
    <w:rsid w:val="002D3C23"/>
    <w:rsid w:val="002D42DD"/>
    <w:rsid w:val="002D4B80"/>
    <w:rsid w:val="002D4C68"/>
    <w:rsid w:val="002D4E39"/>
    <w:rsid w:val="002D55F4"/>
    <w:rsid w:val="002D6621"/>
    <w:rsid w:val="002D6EA7"/>
    <w:rsid w:val="002D78A2"/>
    <w:rsid w:val="002E07B9"/>
    <w:rsid w:val="002E07C4"/>
    <w:rsid w:val="002E0F9C"/>
    <w:rsid w:val="002E15FD"/>
    <w:rsid w:val="002E1837"/>
    <w:rsid w:val="002E23B1"/>
    <w:rsid w:val="002E4248"/>
    <w:rsid w:val="002E4C1F"/>
    <w:rsid w:val="002E600F"/>
    <w:rsid w:val="002E6C66"/>
    <w:rsid w:val="002E6C96"/>
    <w:rsid w:val="002E752D"/>
    <w:rsid w:val="002E76A5"/>
    <w:rsid w:val="002E7A6B"/>
    <w:rsid w:val="002E7CAE"/>
    <w:rsid w:val="002F0C3A"/>
    <w:rsid w:val="002F1C33"/>
    <w:rsid w:val="002F1E2B"/>
    <w:rsid w:val="002F2691"/>
    <w:rsid w:val="002F4308"/>
    <w:rsid w:val="002F5466"/>
    <w:rsid w:val="002F59DF"/>
    <w:rsid w:val="002F5AEF"/>
    <w:rsid w:val="002F5BF6"/>
    <w:rsid w:val="002F60D5"/>
    <w:rsid w:val="002F671C"/>
    <w:rsid w:val="002F7819"/>
    <w:rsid w:val="002F7F8D"/>
    <w:rsid w:val="00300652"/>
    <w:rsid w:val="00300A7D"/>
    <w:rsid w:val="0030156E"/>
    <w:rsid w:val="00301628"/>
    <w:rsid w:val="00301BD1"/>
    <w:rsid w:val="00302679"/>
    <w:rsid w:val="00302A37"/>
    <w:rsid w:val="003041DF"/>
    <w:rsid w:val="003043B4"/>
    <w:rsid w:val="003044FC"/>
    <w:rsid w:val="00305424"/>
    <w:rsid w:val="00305912"/>
    <w:rsid w:val="00305A24"/>
    <w:rsid w:val="00310D58"/>
    <w:rsid w:val="0031249B"/>
    <w:rsid w:val="00312B77"/>
    <w:rsid w:val="0031537C"/>
    <w:rsid w:val="00315504"/>
    <w:rsid w:val="00315F20"/>
    <w:rsid w:val="00316849"/>
    <w:rsid w:val="0031707B"/>
    <w:rsid w:val="003203B4"/>
    <w:rsid w:val="003204F2"/>
    <w:rsid w:val="003216A0"/>
    <w:rsid w:val="00321EBD"/>
    <w:rsid w:val="00322093"/>
    <w:rsid w:val="00322916"/>
    <w:rsid w:val="00323B0B"/>
    <w:rsid w:val="00324018"/>
    <w:rsid w:val="00324DC3"/>
    <w:rsid w:val="00325B13"/>
    <w:rsid w:val="00325CA0"/>
    <w:rsid w:val="003263CA"/>
    <w:rsid w:val="00326533"/>
    <w:rsid w:val="00326B41"/>
    <w:rsid w:val="00330653"/>
    <w:rsid w:val="003306B2"/>
    <w:rsid w:val="00330928"/>
    <w:rsid w:val="00330957"/>
    <w:rsid w:val="00330B8F"/>
    <w:rsid w:val="0033181F"/>
    <w:rsid w:val="003325C4"/>
    <w:rsid w:val="00332B10"/>
    <w:rsid w:val="00334217"/>
    <w:rsid w:val="00334326"/>
    <w:rsid w:val="00334533"/>
    <w:rsid w:val="00334B14"/>
    <w:rsid w:val="00334BE0"/>
    <w:rsid w:val="00334DF3"/>
    <w:rsid w:val="003356C9"/>
    <w:rsid w:val="0033596F"/>
    <w:rsid w:val="0033717A"/>
    <w:rsid w:val="003373DB"/>
    <w:rsid w:val="00337C22"/>
    <w:rsid w:val="00337D69"/>
    <w:rsid w:val="0034090F"/>
    <w:rsid w:val="00341E42"/>
    <w:rsid w:val="00342D57"/>
    <w:rsid w:val="003433B8"/>
    <w:rsid w:val="00344DF1"/>
    <w:rsid w:val="00347404"/>
    <w:rsid w:val="00347B59"/>
    <w:rsid w:val="003510E7"/>
    <w:rsid w:val="00352125"/>
    <w:rsid w:val="00352389"/>
    <w:rsid w:val="00352F6F"/>
    <w:rsid w:val="003534FF"/>
    <w:rsid w:val="0035395E"/>
    <w:rsid w:val="00355BB2"/>
    <w:rsid w:val="0035706E"/>
    <w:rsid w:val="00357650"/>
    <w:rsid w:val="00361524"/>
    <w:rsid w:val="00361804"/>
    <w:rsid w:val="003633D1"/>
    <w:rsid w:val="00363608"/>
    <w:rsid w:val="0036483A"/>
    <w:rsid w:val="00366D89"/>
    <w:rsid w:val="00366F42"/>
    <w:rsid w:val="003703FD"/>
    <w:rsid w:val="00371357"/>
    <w:rsid w:val="00371BEC"/>
    <w:rsid w:val="00372605"/>
    <w:rsid w:val="00372B73"/>
    <w:rsid w:val="00372E92"/>
    <w:rsid w:val="0037352C"/>
    <w:rsid w:val="00374B3F"/>
    <w:rsid w:val="00377BF3"/>
    <w:rsid w:val="00377FD1"/>
    <w:rsid w:val="00381526"/>
    <w:rsid w:val="003825A8"/>
    <w:rsid w:val="003836CE"/>
    <w:rsid w:val="00383AA2"/>
    <w:rsid w:val="00385F12"/>
    <w:rsid w:val="00386766"/>
    <w:rsid w:val="0038778E"/>
    <w:rsid w:val="0039039F"/>
    <w:rsid w:val="0039072D"/>
    <w:rsid w:val="00390AF2"/>
    <w:rsid w:val="003924C6"/>
    <w:rsid w:val="0039306E"/>
    <w:rsid w:val="00393E8B"/>
    <w:rsid w:val="00396B12"/>
    <w:rsid w:val="00397386"/>
    <w:rsid w:val="003A1232"/>
    <w:rsid w:val="003A1848"/>
    <w:rsid w:val="003A1B60"/>
    <w:rsid w:val="003A3441"/>
    <w:rsid w:val="003A5716"/>
    <w:rsid w:val="003A5AB5"/>
    <w:rsid w:val="003A613B"/>
    <w:rsid w:val="003A66A9"/>
    <w:rsid w:val="003A7D57"/>
    <w:rsid w:val="003B07B0"/>
    <w:rsid w:val="003B1068"/>
    <w:rsid w:val="003B1650"/>
    <w:rsid w:val="003B23E9"/>
    <w:rsid w:val="003B26EF"/>
    <w:rsid w:val="003B388A"/>
    <w:rsid w:val="003B3B5B"/>
    <w:rsid w:val="003B3C67"/>
    <w:rsid w:val="003B440C"/>
    <w:rsid w:val="003B4861"/>
    <w:rsid w:val="003B5233"/>
    <w:rsid w:val="003B5E44"/>
    <w:rsid w:val="003B5F83"/>
    <w:rsid w:val="003B63D3"/>
    <w:rsid w:val="003B6531"/>
    <w:rsid w:val="003B663A"/>
    <w:rsid w:val="003B6A1B"/>
    <w:rsid w:val="003B6EE5"/>
    <w:rsid w:val="003B6F39"/>
    <w:rsid w:val="003B7039"/>
    <w:rsid w:val="003B7A55"/>
    <w:rsid w:val="003B7EBA"/>
    <w:rsid w:val="003C03D5"/>
    <w:rsid w:val="003C1FDF"/>
    <w:rsid w:val="003C3021"/>
    <w:rsid w:val="003C4FCA"/>
    <w:rsid w:val="003C5C1B"/>
    <w:rsid w:val="003C7135"/>
    <w:rsid w:val="003D05A6"/>
    <w:rsid w:val="003D09E1"/>
    <w:rsid w:val="003D13C6"/>
    <w:rsid w:val="003D1F62"/>
    <w:rsid w:val="003D258C"/>
    <w:rsid w:val="003D2736"/>
    <w:rsid w:val="003D33B8"/>
    <w:rsid w:val="003D43BD"/>
    <w:rsid w:val="003D44D4"/>
    <w:rsid w:val="003E010D"/>
    <w:rsid w:val="003E0268"/>
    <w:rsid w:val="003E0C77"/>
    <w:rsid w:val="003E12D4"/>
    <w:rsid w:val="003E3603"/>
    <w:rsid w:val="003E3A66"/>
    <w:rsid w:val="003E3F06"/>
    <w:rsid w:val="003E4B69"/>
    <w:rsid w:val="003E5A7C"/>
    <w:rsid w:val="003E5A98"/>
    <w:rsid w:val="003E756A"/>
    <w:rsid w:val="003F0326"/>
    <w:rsid w:val="003F0962"/>
    <w:rsid w:val="003F2F6C"/>
    <w:rsid w:val="003F3768"/>
    <w:rsid w:val="003F4B6D"/>
    <w:rsid w:val="003F54CE"/>
    <w:rsid w:val="003F5AF3"/>
    <w:rsid w:val="003F5BAA"/>
    <w:rsid w:val="003F5BDA"/>
    <w:rsid w:val="003F6421"/>
    <w:rsid w:val="003F77DE"/>
    <w:rsid w:val="0040152D"/>
    <w:rsid w:val="0040221A"/>
    <w:rsid w:val="00402913"/>
    <w:rsid w:val="00402F08"/>
    <w:rsid w:val="004037B0"/>
    <w:rsid w:val="004038FB"/>
    <w:rsid w:val="00403A6D"/>
    <w:rsid w:val="00403E2E"/>
    <w:rsid w:val="0040556C"/>
    <w:rsid w:val="004065BF"/>
    <w:rsid w:val="0040665F"/>
    <w:rsid w:val="00406949"/>
    <w:rsid w:val="00410E1E"/>
    <w:rsid w:val="00415943"/>
    <w:rsid w:val="0041619B"/>
    <w:rsid w:val="004171A4"/>
    <w:rsid w:val="00417437"/>
    <w:rsid w:val="0042009B"/>
    <w:rsid w:val="0042084F"/>
    <w:rsid w:val="0042126D"/>
    <w:rsid w:val="00421850"/>
    <w:rsid w:val="00421A96"/>
    <w:rsid w:val="00421B30"/>
    <w:rsid w:val="00425207"/>
    <w:rsid w:val="004257CF"/>
    <w:rsid w:val="004259AD"/>
    <w:rsid w:val="00427EDD"/>
    <w:rsid w:val="00431096"/>
    <w:rsid w:val="00431E26"/>
    <w:rsid w:val="00431EEE"/>
    <w:rsid w:val="00432102"/>
    <w:rsid w:val="00432B4C"/>
    <w:rsid w:val="00433800"/>
    <w:rsid w:val="00433869"/>
    <w:rsid w:val="004338A0"/>
    <w:rsid w:val="00434148"/>
    <w:rsid w:val="0043497B"/>
    <w:rsid w:val="00435B2A"/>
    <w:rsid w:val="00436D6F"/>
    <w:rsid w:val="00437036"/>
    <w:rsid w:val="0043730D"/>
    <w:rsid w:val="00437326"/>
    <w:rsid w:val="0044054E"/>
    <w:rsid w:val="00443469"/>
    <w:rsid w:val="004445E3"/>
    <w:rsid w:val="00445283"/>
    <w:rsid w:val="004461B1"/>
    <w:rsid w:val="004471F4"/>
    <w:rsid w:val="004512BA"/>
    <w:rsid w:val="004513DA"/>
    <w:rsid w:val="00452337"/>
    <w:rsid w:val="00452BB2"/>
    <w:rsid w:val="00452FB3"/>
    <w:rsid w:val="004549BC"/>
    <w:rsid w:val="004568A5"/>
    <w:rsid w:val="00456E5E"/>
    <w:rsid w:val="00457AB7"/>
    <w:rsid w:val="00457CC1"/>
    <w:rsid w:val="00461C3D"/>
    <w:rsid w:val="00462BAF"/>
    <w:rsid w:val="004665E9"/>
    <w:rsid w:val="004666BD"/>
    <w:rsid w:val="00467329"/>
    <w:rsid w:val="00467A11"/>
    <w:rsid w:val="004701E6"/>
    <w:rsid w:val="00470733"/>
    <w:rsid w:val="00471542"/>
    <w:rsid w:val="00471C73"/>
    <w:rsid w:val="00472274"/>
    <w:rsid w:val="004725DF"/>
    <w:rsid w:val="00472F71"/>
    <w:rsid w:val="004730FF"/>
    <w:rsid w:val="00473DA0"/>
    <w:rsid w:val="00473E9D"/>
    <w:rsid w:val="0047472D"/>
    <w:rsid w:val="00474BE4"/>
    <w:rsid w:val="00475EF5"/>
    <w:rsid w:val="00475FFD"/>
    <w:rsid w:val="004769BD"/>
    <w:rsid w:val="00476B19"/>
    <w:rsid w:val="00476B6F"/>
    <w:rsid w:val="0047704A"/>
    <w:rsid w:val="00477851"/>
    <w:rsid w:val="00481DD5"/>
    <w:rsid w:val="00482724"/>
    <w:rsid w:val="00482ADA"/>
    <w:rsid w:val="00483858"/>
    <w:rsid w:val="004855F9"/>
    <w:rsid w:val="0048713F"/>
    <w:rsid w:val="00487176"/>
    <w:rsid w:val="0049188D"/>
    <w:rsid w:val="0049214A"/>
    <w:rsid w:val="004921B8"/>
    <w:rsid w:val="00494001"/>
    <w:rsid w:val="0049498C"/>
    <w:rsid w:val="00494B2C"/>
    <w:rsid w:val="0049565F"/>
    <w:rsid w:val="00495B2E"/>
    <w:rsid w:val="00496662"/>
    <w:rsid w:val="00497786"/>
    <w:rsid w:val="004A30E5"/>
    <w:rsid w:val="004A4176"/>
    <w:rsid w:val="004A489A"/>
    <w:rsid w:val="004A55BC"/>
    <w:rsid w:val="004A570C"/>
    <w:rsid w:val="004A5E22"/>
    <w:rsid w:val="004A6FA1"/>
    <w:rsid w:val="004A7BB5"/>
    <w:rsid w:val="004A7C75"/>
    <w:rsid w:val="004B0F39"/>
    <w:rsid w:val="004B1F4B"/>
    <w:rsid w:val="004B21D0"/>
    <w:rsid w:val="004B266F"/>
    <w:rsid w:val="004B2F96"/>
    <w:rsid w:val="004B3743"/>
    <w:rsid w:val="004B37A9"/>
    <w:rsid w:val="004B490A"/>
    <w:rsid w:val="004B582A"/>
    <w:rsid w:val="004B5ECE"/>
    <w:rsid w:val="004B7366"/>
    <w:rsid w:val="004B745F"/>
    <w:rsid w:val="004C0867"/>
    <w:rsid w:val="004C0D66"/>
    <w:rsid w:val="004C0ED2"/>
    <w:rsid w:val="004C1CBE"/>
    <w:rsid w:val="004C2582"/>
    <w:rsid w:val="004C37E5"/>
    <w:rsid w:val="004C3954"/>
    <w:rsid w:val="004C5FFF"/>
    <w:rsid w:val="004C66EA"/>
    <w:rsid w:val="004C68FB"/>
    <w:rsid w:val="004C7384"/>
    <w:rsid w:val="004C7533"/>
    <w:rsid w:val="004C7724"/>
    <w:rsid w:val="004C7D71"/>
    <w:rsid w:val="004D038A"/>
    <w:rsid w:val="004D0AFC"/>
    <w:rsid w:val="004D0D95"/>
    <w:rsid w:val="004D2156"/>
    <w:rsid w:val="004D29E6"/>
    <w:rsid w:val="004D2B71"/>
    <w:rsid w:val="004D3FD2"/>
    <w:rsid w:val="004D4728"/>
    <w:rsid w:val="004D4A78"/>
    <w:rsid w:val="004D4E4A"/>
    <w:rsid w:val="004D555C"/>
    <w:rsid w:val="004D6F7B"/>
    <w:rsid w:val="004D730A"/>
    <w:rsid w:val="004D7C37"/>
    <w:rsid w:val="004E0E1A"/>
    <w:rsid w:val="004E1316"/>
    <w:rsid w:val="004E1791"/>
    <w:rsid w:val="004E1951"/>
    <w:rsid w:val="004E2965"/>
    <w:rsid w:val="004E3F5B"/>
    <w:rsid w:val="004E4239"/>
    <w:rsid w:val="004E4374"/>
    <w:rsid w:val="004E5562"/>
    <w:rsid w:val="004E64E1"/>
    <w:rsid w:val="004E67BE"/>
    <w:rsid w:val="004F11E4"/>
    <w:rsid w:val="004F2033"/>
    <w:rsid w:val="004F2561"/>
    <w:rsid w:val="004F32C1"/>
    <w:rsid w:val="004F3B8B"/>
    <w:rsid w:val="004F3CBB"/>
    <w:rsid w:val="0050015B"/>
    <w:rsid w:val="00500900"/>
    <w:rsid w:val="00501FB0"/>
    <w:rsid w:val="0050396C"/>
    <w:rsid w:val="00504A44"/>
    <w:rsid w:val="00505545"/>
    <w:rsid w:val="005057CE"/>
    <w:rsid w:val="00506AEB"/>
    <w:rsid w:val="00510A48"/>
    <w:rsid w:val="00511AA6"/>
    <w:rsid w:val="00511D05"/>
    <w:rsid w:val="00512311"/>
    <w:rsid w:val="005125CA"/>
    <w:rsid w:val="00513571"/>
    <w:rsid w:val="00513683"/>
    <w:rsid w:val="00513B5E"/>
    <w:rsid w:val="00513ECA"/>
    <w:rsid w:val="0051412C"/>
    <w:rsid w:val="0051647F"/>
    <w:rsid w:val="0051671D"/>
    <w:rsid w:val="00516E6A"/>
    <w:rsid w:val="00517AE0"/>
    <w:rsid w:val="0052010F"/>
    <w:rsid w:val="0052019A"/>
    <w:rsid w:val="00520745"/>
    <w:rsid w:val="005217DB"/>
    <w:rsid w:val="0052313B"/>
    <w:rsid w:val="00523260"/>
    <w:rsid w:val="00523445"/>
    <w:rsid w:val="00525C59"/>
    <w:rsid w:val="0052674D"/>
    <w:rsid w:val="00527A16"/>
    <w:rsid w:val="00527F6D"/>
    <w:rsid w:val="00530B83"/>
    <w:rsid w:val="0053280C"/>
    <w:rsid w:val="0053361A"/>
    <w:rsid w:val="00534D17"/>
    <w:rsid w:val="00534E41"/>
    <w:rsid w:val="00535836"/>
    <w:rsid w:val="00535B1E"/>
    <w:rsid w:val="00536AFC"/>
    <w:rsid w:val="005378CE"/>
    <w:rsid w:val="00537AD2"/>
    <w:rsid w:val="00537D1B"/>
    <w:rsid w:val="00540325"/>
    <w:rsid w:val="005409CC"/>
    <w:rsid w:val="00540B51"/>
    <w:rsid w:val="00541ADA"/>
    <w:rsid w:val="005426EA"/>
    <w:rsid w:val="00544019"/>
    <w:rsid w:val="00544320"/>
    <w:rsid w:val="005448E7"/>
    <w:rsid w:val="00547332"/>
    <w:rsid w:val="00547419"/>
    <w:rsid w:val="00547979"/>
    <w:rsid w:val="00550028"/>
    <w:rsid w:val="0055092E"/>
    <w:rsid w:val="0055229F"/>
    <w:rsid w:val="00552D3F"/>
    <w:rsid w:val="00553AE6"/>
    <w:rsid w:val="005547D2"/>
    <w:rsid w:val="0055582C"/>
    <w:rsid w:val="00555AD0"/>
    <w:rsid w:val="00556A1E"/>
    <w:rsid w:val="0056058F"/>
    <w:rsid w:val="005606D5"/>
    <w:rsid w:val="00561265"/>
    <w:rsid w:val="0056184B"/>
    <w:rsid w:val="00561A91"/>
    <w:rsid w:val="00564208"/>
    <w:rsid w:val="0056463F"/>
    <w:rsid w:val="0056607C"/>
    <w:rsid w:val="0056777A"/>
    <w:rsid w:val="00567CCA"/>
    <w:rsid w:val="0057036B"/>
    <w:rsid w:val="005705AD"/>
    <w:rsid w:val="00570F76"/>
    <w:rsid w:val="005718C7"/>
    <w:rsid w:val="005719E6"/>
    <w:rsid w:val="00571DF3"/>
    <w:rsid w:val="00572FB7"/>
    <w:rsid w:val="00573593"/>
    <w:rsid w:val="005741CD"/>
    <w:rsid w:val="005745C7"/>
    <w:rsid w:val="0057470A"/>
    <w:rsid w:val="00575623"/>
    <w:rsid w:val="005764C2"/>
    <w:rsid w:val="0057661F"/>
    <w:rsid w:val="0057662A"/>
    <w:rsid w:val="00576645"/>
    <w:rsid w:val="00576B9B"/>
    <w:rsid w:val="00577292"/>
    <w:rsid w:val="00577447"/>
    <w:rsid w:val="00580046"/>
    <w:rsid w:val="00580594"/>
    <w:rsid w:val="00580BA3"/>
    <w:rsid w:val="0058193B"/>
    <w:rsid w:val="005827C4"/>
    <w:rsid w:val="0058513E"/>
    <w:rsid w:val="00585301"/>
    <w:rsid w:val="0058581C"/>
    <w:rsid w:val="00587DA9"/>
    <w:rsid w:val="005907E3"/>
    <w:rsid w:val="0059080B"/>
    <w:rsid w:val="00591ECB"/>
    <w:rsid w:val="005924AB"/>
    <w:rsid w:val="00593EEF"/>
    <w:rsid w:val="00594517"/>
    <w:rsid w:val="00595601"/>
    <w:rsid w:val="005958F8"/>
    <w:rsid w:val="0059592E"/>
    <w:rsid w:val="00595A74"/>
    <w:rsid w:val="0059632D"/>
    <w:rsid w:val="005972D0"/>
    <w:rsid w:val="00597B36"/>
    <w:rsid w:val="005A0950"/>
    <w:rsid w:val="005A106D"/>
    <w:rsid w:val="005A1672"/>
    <w:rsid w:val="005A1B78"/>
    <w:rsid w:val="005A1DDD"/>
    <w:rsid w:val="005A1DFD"/>
    <w:rsid w:val="005A202C"/>
    <w:rsid w:val="005A263A"/>
    <w:rsid w:val="005A4315"/>
    <w:rsid w:val="005A4463"/>
    <w:rsid w:val="005A5EE6"/>
    <w:rsid w:val="005A689A"/>
    <w:rsid w:val="005A6B51"/>
    <w:rsid w:val="005A7661"/>
    <w:rsid w:val="005B154C"/>
    <w:rsid w:val="005B299D"/>
    <w:rsid w:val="005B329C"/>
    <w:rsid w:val="005B3614"/>
    <w:rsid w:val="005B3664"/>
    <w:rsid w:val="005B60B3"/>
    <w:rsid w:val="005B6936"/>
    <w:rsid w:val="005B6F69"/>
    <w:rsid w:val="005C021D"/>
    <w:rsid w:val="005C0D7A"/>
    <w:rsid w:val="005C1196"/>
    <w:rsid w:val="005C3905"/>
    <w:rsid w:val="005C5F29"/>
    <w:rsid w:val="005C6CFB"/>
    <w:rsid w:val="005C6D9E"/>
    <w:rsid w:val="005C7276"/>
    <w:rsid w:val="005C7BAF"/>
    <w:rsid w:val="005D064A"/>
    <w:rsid w:val="005D0ACA"/>
    <w:rsid w:val="005D0CAB"/>
    <w:rsid w:val="005D25D1"/>
    <w:rsid w:val="005D39C5"/>
    <w:rsid w:val="005D4945"/>
    <w:rsid w:val="005D50C0"/>
    <w:rsid w:val="005D5782"/>
    <w:rsid w:val="005D594F"/>
    <w:rsid w:val="005D6321"/>
    <w:rsid w:val="005D675E"/>
    <w:rsid w:val="005D79B6"/>
    <w:rsid w:val="005E051A"/>
    <w:rsid w:val="005E1646"/>
    <w:rsid w:val="005E17AE"/>
    <w:rsid w:val="005E1959"/>
    <w:rsid w:val="005E1AD6"/>
    <w:rsid w:val="005E2987"/>
    <w:rsid w:val="005E318E"/>
    <w:rsid w:val="005E3662"/>
    <w:rsid w:val="005E4253"/>
    <w:rsid w:val="005E46AE"/>
    <w:rsid w:val="005E5426"/>
    <w:rsid w:val="005E5D9F"/>
    <w:rsid w:val="005E5F52"/>
    <w:rsid w:val="005E66BA"/>
    <w:rsid w:val="005E70B4"/>
    <w:rsid w:val="005E70F0"/>
    <w:rsid w:val="005E739C"/>
    <w:rsid w:val="005E79BB"/>
    <w:rsid w:val="005F258C"/>
    <w:rsid w:val="005F3A96"/>
    <w:rsid w:val="005F40D3"/>
    <w:rsid w:val="005F4867"/>
    <w:rsid w:val="005F5CFB"/>
    <w:rsid w:val="005F7230"/>
    <w:rsid w:val="005F7BF6"/>
    <w:rsid w:val="005F7E80"/>
    <w:rsid w:val="005F7F87"/>
    <w:rsid w:val="00600C26"/>
    <w:rsid w:val="00601B61"/>
    <w:rsid w:val="00602D38"/>
    <w:rsid w:val="006053DD"/>
    <w:rsid w:val="00607696"/>
    <w:rsid w:val="00610261"/>
    <w:rsid w:val="00611932"/>
    <w:rsid w:val="006125B8"/>
    <w:rsid w:val="00612C8E"/>
    <w:rsid w:val="00612E61"/>
    <w:rsid w:val="00614325"/>
    <w:rsid w:val="00614A71"/>
    <w:rsid w:val="006159C5"/>
    <w:rsid w:val="00616DDE"/>
    <w:rsid w:val="00617397"/>
    <w:rsid w:val="00620E4B"/>
    <w:rsid w:val="00621348"/>
    <w:rsid w:val="00621478"/>
    <w:rsid w:val="00621530"/>
    <w:rsid w:val="0062163D"/>
    <w:rsid w:val="0062192F"/>
    <w:rsid w:val="00622376"/>
    <w:rsid w:val="006224BD"/>
    <w:rsid w:val="0062383A"/>
    <w:rsid w:val="00624DAA"/>
    <w:rsid w:val="006251DB"/>
    <w:rsid w:val="006258E6"/>
    <w:rsid w:val="00626758"/>
    <w:rsid w:val="006268C0"/>
    <w:rsid w:val="00627220"/>
    <w:rsid w:val="00630814"/>
    <w:rsid w:val="0063081B"/>
    <w:rsid w:val="0063167A"/>
    <w:rsid w:val="00631A55"/>
    <w:rsid w:val="00631E16"/>
    <w:rsid w:val="0063277D"/>
    <w:rsid w:val="00632802"/>
    <w:rsid w:val="00632FA0"/>
    <w:rsid w:val="00634357"/>
    <w:rsid w:val="006345E1"/>
    <w:rsid w:val="00635A7B"/>
    <w:rsid w:val="00637189"/>
    <w:rsid w:val="0064267D"/>
    <w:rsid w:val="00643E58"/>
    <w:rsid w:val="00644EA1"/>
    <w:rsid w:val="006479A1"/>
    <w:rsid w:val="00647C6D"/>
    <w:rsid w:val="00650B7B"/>
    <w:rsid w:val="00655003"/>
    <w:rsid w:val="00655B13"/>
    <w:rsid w:val="0065710C"/>
    <w:rsid w:val="006579C1"/>
    <w:rsid w:val="00657D40"/>
    <w:rsid w:val="00657EB0"/>
    <w:rsid w:val="0066030B"/>
    <w:rsid w:val="00660676"/>
    <w:rsid w:val="00660ABF"/>
    <w:rsid w:val="00661365"/>
    <w:rsid w:val="0066288E"/>
    <w:rsid w:val="00662EF4"/>
    <w:rsid w:val="0066343C"/>
    <w:rsid w:val="0066458B"/>
    <w:rsid w:val="00666980"/>
    <w:rsid w:val="00667C6A"/>
    <w:rsid w:val="00667D11"/>
    <w:rsid w:val="0067085A"/>
    <w:rsid w:val="00670C43"/>
    <w:rsid w:val="006727A4"/>
    <w:rsid w:val="0067418E"/>
    <w:rsid w:val="006741F4"/>
    <w:rsid w:val="00674854"/>
    <w:rsid w:val="00674A78"/>
    <w:rsid w:val="00674E4C"/>
    <w:rsid w:val="00674EA1"/>
    <w:rsid w:val="006761F0"/>
    <w:rsid w:val="00677F9B"/>
    <w:rsid w:val="006815EE"/>
    <w:rsid w:val="0068196A"/>
    <w:rsid w:val="006820D7"/>
    <w:rsid w:val="006829DB"/>
    <w:rsid w:val="00684763"/>
    <w:rsid w:val="0068494E"/>
    <w:rsid w:val="00684D4F"/>
    <w:rsid w:val="006853BF"/>
    <w:rsid w:val="0068634B"/>
    <w:rsid w:val="006871C4"/>
    <w:rsid w:val="00687272"/>
    <w:rsid w:val="00687F39"/>
    <w:rsid w:val="0069045D"/>
    <w:rsid w:val="00690616"/>
    <w:rsid w:val="006909B2"/>
    <w:rsid w:val="00690D22"/>
    <w:rsid w:val="006923A3"/>
    <w:rsid w:val="00693093"/>
    <w:rsid w:val="0069551C"/>
    <w:rsid w:val="00695F32"/>
    <w:rsid w:val="006A0A4B"/>
    <w:rsid w:val="006A189A"/>
    <w:rsid w:val="006A2B61"/>
    <w:rsid w:val="006A3DC8"/>
    <w:rsid w:val="006A497B"/>
    <w:rsid w:val="006A4EFC"/>
    <w:rsid w:val="006A4F57"/>
    <w:rsid w:val="006A7308"/>
    <w:rsid w:val="006B150F"/>
    <w:rsid w:val="006B1D17"/>
    <w:rsid w:val="006B2A87"/>
    <w:rsid w:val="006B37FA"/>
    <w:rsid w:val="006B3BF5"/>
    <w:rsid w:val="006B6288"/>
    <w:rsid w:val="006B6B74"/>
    <w:rsid w:val="006B74C5"/>
    <w:rsid w:val="006B7BA8"/>
    <w:rsid w:val="006C0C0E"/>
    <w:rsid w:val="006C13F2"/>
    <w:rsid w:val="006C19FC"/>
    <w:rsid w:val="006C2BE8"/>
    <w:rsid w:val="006C3051"/>
    <w:rsid w:val="006C3971"/>
    <w:rsid w:val="006C479A"/>
    <w:rsid w:val="006C55DD"/>
    <w:rsid w:val="006C66CE"/>
    <w:rsid w:val="006C6C31"/>
    <w:rsid w:val="006C7067"/>
    <w:rsid w:val="006C7B26"/>
    <w:rsid w:val="006D0589"/>
    <w:rsid w:val="006D0F05"/>
    <w:rsid w:val="006D2BF8"/>
    <w:rsid w:val="006D3155"/>
    <w:rsid w:val="006D4502"/>
    <w:rsid w:val="006D5D9A"/>
    <w:rsid w:val="006D5F98"/>
    <w:rsid w:val="006E03F9"/>
    <w:rsid w:val="006E173C"/>
    <w:rsid w:val="006E1DDF"/>
    <w:rsid w:val="006E2E1E"/>
    <w:rsid w:val="006E3AA5"/>
    <w:rsid w:val="006E3EFF"/>
    <w:rsid w:val="006E4926"/>
    <w:rsid w:val="006E4BD8"/>
    <w:rsid w:val="006E5506"/>
    <w:rsid w:val="006E5E1D"/>
    <w:rsid w:val="006E608E"/>
    <w:rsid w:val="006F0223"/>
    <w:rsid w:val="006F0CA4"/>
    <w:rsid w:val="006F0F10"/>
    <w:rsid w:val="006F180B"/>
    <w:rsid w:val="006F18A4"/>
    <w:rsid w:val="006F19D8"/>
    <w:rsid w:val="006F1CD3"/>
    <w:rsid w:val="006F1F7D"/>
    <w:rsid w:val="006F51E2"/>
    <w:rsid w:val="006F5A14"/>
    <w:rsid w:val="006F5AE0"/>
    <w:rsid w:val="006F6C80"/>
    <w:rsid w:val="006F7432"/>
    <w:rsid w:val="006F7C1F"/>
    <w:rsid w:val="007009D9"/>
    <w:rsid w:val="007011D3"/>
    <w:rsid w:val="00701464"/>
    <w:rsid w:val="00701B09"/>
    <w:rsid w:val="0070220D"/>
    <w:rsid w:val="0070354E"/>
    <w:rsid w:val="0070402F"/>
    <w:rsid w:val="007045B3"/>
    <w:rsid w:val="00704A95"/>
    <w:rsid w:val="007052AB"/>
    <w:rsid w:val="00707619"/>
    <w:rsid w:val="00707651"/>
    <w:rsid w:val="00710D10"/>
    <w:rsid w:val="00711464"/>
    <w:rsid w:val="0071152F"/>
    <w:rsid w:val="007119E5"/>
    <w:rsid w:val="007120F4"/>
    <w:rsid w:val="007124FA"/>
    <w:rsid w:val="007128D0"/>
    <w:rsid w:val="00712E1D"/>
    <w:rsid w:val="00714582"/>
    <w:rsid w:val="0071634A"/>
    <w:rsid w:val="007164AE"/>
    <w:rsid w:val="007165FF"/>
    <w:rsid w:val="007173EB"/>
    <w:rsid w:val="0071785B"/>
    <w:rsid w:val="0071797E"/>
    <w:rsid w:val="007220D5"/>
    <w:rsid w:val="007223E1"/>
    <w:rsid w:val="007224F4"/>
    <w:rsid w:val="00722858"/>
    <w:rsid w:val="007246BC"/>
    <w:rsid w:val="00724B9F"/>
    <w:rsid w:val="00725544"/>
    <w:rsid w:val="0072581A"/>
    <w:rsid w:val="007262B2"/>
    <w:rsid w:val="00727CF5"/>
    <w:rsid w:val="007302D3"/>
    <w:rsid w:val="00730440"/>
    <w:rsid w:val="007304C6"/>
    <w:rsid w:val="007315FB"/>
    <w:rsid w:val="00731D9B"/>
    <w:rsid w:val="00733763"/>
    <w:rsid w:val="007352E6"/>
    <w:rsid w:val="007370E2"/>
    <w:rsid w:val="00737AEB"/>
    <w:rsid w:val="00740260"/>
    <w:rsid w:val="00740762"/>
    <w:rsid w:val="00741E71"/>
    <w:rsid w:val="0074246D"/>
    <w:rsid w:val="0074270E"/>
    <w:rsid w:val="007427B9"/>
    <w:rsid w:val="007429FF"/>
    <w:rsid w:val="00742A45"/>
    <w:rsid w:val="0074355D"/>
    <w:rsid w:val="0074546C"/>
    <w:rsid w:val="0074548D"/>
    <w:rsid w:val="00746282"/>
    <w:rsid w:val="00746325"/>
    <w:rsid w:val="0074660E"/>
    <w:rsid w:val="0074696D"/>
    <w:rsid w:val="00746BDE"/>
    <w:rsid w:val="00750C80"/>
    <w:rsid w:val="00751257"/>
    <w:rsid w:val="007513B7"/>
    <w:rsid w:val="0075171C"/>
    <w:rsid w:val="00753091"/>
    <w:rsid w:val="00756624"/>
    <w:rsid w:val="00756F65"/>
    <w:rsid w:val="00757862"/>
    <w:rsid w:val="00757E06"/>
    <w:rsid w:val="00760768"/>
    <w:rsid w:val="00760D6F"/>
    <w:rsid w:val="00761E53"/>
    <w:rsid w:val="00762330"/>
    <w:rsid w:val="007625F2"/>
    <w:rsid w:val="007642FE"/>
    <w:rsid w:val="00765276"/>
    <w:rsid w:val="0076583C"/>
    <w:rsid w:val="007663D0"/>
    <w:rsid w:val="0076757E"/>
    <w:rsid w:val="00767A05"/>
    <w:rsid w:val="0077021A"/>
    <w:rsid w:val="007704B1"/>
    <w:rsid w:val="0077352C"/>
    <w:rsid w:val="0077479B"/>
    <w:rsid w:val="00776896"/>
    <w:rsid w:val="00777743"/>
    <w:rsid w:val="007777AE"/>
    <w:rsid w:val="00781E9E"/>
    <w:rsid w:val="007826BE"/>
    <w:rsid w:val="007828A3"/>
    <w:rsid w:val="00783925"/>
    <w:rsid w:val="007849F5"/>
    <w:rsid w:val="007859E2"/>
    <w:rsid w:val="00785BE4"/>
    <w:rsid w:val="007863D2"/>
    <w:rsid w:val="0078712C"/>
    <w:rsid w:val="0078788F"/>
    <w:rsid w:val="00787A0F"/>
    <w:rsid w:val="007909F5"/>
    <w:rsid w:val="00791309"/>
    <w:rsid w:val="007923CA"/>
    <w:rsid w:val="00792FA6"/>
    <w:rsid w:val="00793185"/>
    <w:rsid w:val="007938DF"/>
    <w:rsid w:val="0079500D"/>
    <w:rsid w:val="007952AD"/>
    <w:rsid w:val="00795FDE"/>
    <w:rsid w:val="00797D77"/>
    <w:rsid w:val="007A0578"/>
    <w:rsid w:val="007A143B"/>
    <w:rsid w:val="007A1D61"/>
    <w:rsid w:val="007A26B3"/>
    <w:rsid w:val="007A2DD4"/>
    <w:rsid w:val="007A3DF3"/>
    <w:rsid w:val="007A40D9"/>
    <w:rsid w:val="007A46D2"/>
    <w:rsid w:val="007A481C"/>
    <w:rsid w:val="007A4AD9"/>
    <w:rsid w:val="007A51CB"/>
    <w:rsid w:val="007A53CD"/>
    <w:rsid w:val="007A570B"/>
    <w:rsid w:val="007A671F"/>
    <w:rsid w:val="007A7A45"/>
    <w:rsid w:val="007B1B77"/>
    <w:rsid w:val="007B1D02"/>
    <w:rsid w:val="007B1FF4"/>
    <w:rsid w:val="007B2923"/>
    <w:rsid w:val="007B3353"/>
    <w:rsid w:val="007B4467"/>
    <w:rsid w:val="007B464E"/>
    <w:rsid w:val="007B4907"/>
    <w:rsid w:val="007B4B77"/>
    <w:rsid w:val="007B5B7F"/>
    <w:rsid w:val="007B67E8"/>
    <w:rsid w:val="007B76C7"/>
    <w:rsid w:val="007C03E6"/>
    <w:rsid w:val="007C0484"/>
    <w:rsid w:val="007C16C9"/>
    <w:rsid w:val="007C17FB"/>
    <w:rsid w:val="007C32FE"/>
    <w:rsid w:val="007C421C"/>
    <w:rsid w:val="007C4FA7"/>
    <w:rsid w:val="007C5F7C"/>
    <w:rsid w:val="007C6601"/>
    <w:rsid w:val="007C6E17"/>
    <w:rsid w:val="007C6E2E"/>
    <w:rsid w:val="007C70BE"/>
    <w:rsid w:val="007C7913"/>
    <w:rsid w:val="007C7BF6"/>
    <w:rsid w:val="007D02C8"/>
    <w:rsid w:val="007D0420"/>
    <w:rsid w:val="007D139C"/>
    <w:rsid w:val="007D190A"/>
    <w:rsid w:val="007D4685"/>
    <w:rsid w:val="007D5302"/>
    <w:rsid w:val="007D54A4"/>
    <w:rsid w:val="007D577B"/>
    <w:rsid w:val="007D59ED"/>
    <w:rsid w:val="007E0535"/>
    <w:rsid w:val="007E06B8"/>
    <w:rsid w:val="007E246A"/>
    <w:rsid w:val="007E27DF"/>
    <w:rsid w:val="007E32D0"/>
    <w:rsid w:val="007E34EA"/>
    <w:rsid w:val="007E3512"/>
    <w:rsid w:val="007E420D"/>
    <w:rsid w:val="007E4805"/>
    <w:rsid w:val="007E4BC2"/>
    <w:rsid w:val="007E50E0"/>
    <w:rsid w:val="007E5AF7"/>
    <w:rsid w:val="007E64B8"/>
    <w:rsid w:val="007E6ECC"/>
    <w:rsid w:val="007F1064"/>
    <w:rsid w:val="007F1813"/>
    <w:rsid w:val="007F1C6E"/>
    <w:rsid w:val="007F4040"/>
    <w:rsid w:val="007F50BA"/>
    <w:rsid w:val="007F5B62"/>
    <w:rsid w:val="007F5B6F"/>
    <w:rsid w:val="007F5DBC"/>
    <w:rsid w:val="007F6073"/>
    <w:rsid w:val="007F614F"/>
    <w:rsid w:val="007F633A"/>
    <w:rsid w:val="007F6A98"/>
    <w:rsid w:val="007F6CC9"/>
    <w:rsid w:val="007F71D8"/>
    <w:rsid w:val="007F7620"/>
    <w:rsid w:val="0080111F"/>
    <w:rsid w:val="00801B95"/>
    <w:rsid w:val="0080201C"/>
    <w:rsid w:val="00802636"/>
    <w:rsid w:val="00802BC3"/>
    <w:rsid w:val="0080327A"/>
    <w:rsid w:val="008043E7"/>
    <w:rsid w:val="00804FED"/>
    <w:rsid w:val="008062C4"/>
    <w:rsid w:val="00807B7E"/>
    <w:rsid w:val="00810E84"/>
    <w:rsid w:val="008114A0"/>
    <w:rsid w:val="00811F0E"/>
    <w:rsid w:val="00812362"/>
    <w:rsid w:val="008128CB"/>
    <w:rsid w:val="00812EBC"/>
    <w:rsid w:val="008132C9"/>
    <w:rsid w:val="0081438A"/>
    <w:rsid w:val="008148A2"/>
    <w:rsid w:val="00814D7C"/>
    <w:rsid w:val="00814DDA"/>
    <w:rsid w:val="00814E36"/>
    <w:rsid w:val="00815AF0"/>
    <w:rsid w:val="00815C44"/>
    <w:rsid w:val="00815D9D"/>
    <w:rsid w:val="00817B91"/>
    <w:rsid w:val="008217FA"/>
    <w:rsid w:val="00821B38"/>
    <w:rsid w:val="00821D22"/>
    <w:rsid w:val="008227F9"/>
    <w:rsid w:val="00822E61"/>
    <w:rsid w:val="008239D4"/>
    <w:rsid w:val="00823D4D"/>
    <w:rsid w:val="0082536E"/>
    <w:rsid w:val="00825757"/>
    <w:rsid w:val="00826C68"/>
    <w:rsid w:val="00826CBE"/>
    <w:rsid w:val="00826E67"/>
    <w:rsid w:val="0082710E"/>
    <w:rsid w:val="00827491"/>
    <w:rsid w:val="008277E1"/>
    <w:rsid w:val="00830F45"/>
    <w:rsid w:val="00832062"/>
    <w:rsid w:val="008321EC"/>
    <w:rsid w:val="00832377"/>
    <w:rsid w:val="008331B9"/>
    <w:rsid w:val="00834051"/>
    <w:rsid w:val="00834F1D"/>
    <w:rsid w:val="0083568F"/>
    <w:rsid w:val="00835C9A"/>
    <w:rsid w:val="00836D08"/>
    <w:rsid w:val="00837549"/>
    <w:rsid w:val="008401F7"/>
    <w:rsid w:val="00840447"/>
    <w:rsid w:val="0084063B"/>
    <w:rsid w:val="0084063E"/>
    <w:rsid w:val="00840BAD"/>
    <w:rsid w:val="0084271F"/>
    <w:rsid w:val="00842772"/>
    <w:rsid w:val="00843D78"/>
    <w:rsid w:val="00843F9F"/>
    <w:rsid w:val="008460ED"/>
    <w:rsid w:val="00851AAA"/>
    <w:rsid w:val="0085241C"/>
    <w:rsid w:val="008532CE"/>
    <w:rsid w:val="008537B0"/>
    <w:rsid w:val="00853BEE"/>
    <w:rsid w:val="00854412"/>
    <w:rsid w:val="00855EA5"/>
    <w:rsid w:val="008560C2"/>
    <w:rsid w:val="0085665B"/>
    <w:rsid w:val="00856C69"/>
    <w:rsid w:val="0085720E"/>
    <w:rsid w:val="0085726A"/>
    <w:rsid w:val="00857624"/>
    <w:rsid w:val="00860177"/>
    <w:rsid w:val="00863664"/>
    <w:rsid w:val="00865688"/>
    <w:rsid w:val="008714CB"/>
    <w:rsid w:val="00872E39"/>
    <w:rsid w:val="00873555"/>
    <w:rsid w:val="00874258"/>
    <w:rsid w:val="0087441A"/>
    <w:rsid w:val="00874606"/>
    <w:rsid w:val="0087496F"/>
    <w:rsid w:val="00874EDD"/>
    <w:rsid w:val="008753D4"/>
    <w:rsid w:val="00875674"/>
    <w:rsid w:val="008764D2"/>
    <w:rsid w:val="008766B6"/>
    <w:rsid w:val="00880538"/>
    <w:rsid w:val="008809FE"/>
    <w:rsid w:val="00880ED3"/>
    <w:rsid w:val="00881D29"/>
    <w:rsid w:val="00883084"/>
    <w:rsid w:val="00883D4A"/>
    <w:rsid w:val="00884382"/>
    <w:rsid w:val="0088773C"/>
    <w:rsid w:val="00887D82"/>
    <w:rsid w:val="00890409"/>
    <w:rsid w:val="0089044B"/>
    <w:rsid w:val="008907E9"/>
    <w:rsid w:val="008925A1"/>
    <w:rsid w:val="00894004"/>
    <w:rsid w:val="00894F97"/>
    <w:rsid w:val="00895EAF"/>
    <w:rsid w:val="00897CEF"/>
    <w:rsid w:val="008A0611"/>
    <w:rsid w:val="008A0A64"/>
    <w:rsid w:val="008A10F8"/>
    <w:rsid w:val="008A1957"/>
    <w:rsid w:val="008A1A99"/>
    <w:rsid w:val="008A218E"/>
    <w:rsid w:val="008A3E04"/>
    <w:rsid w:val="008A3FCA"/>
    <w:rsid w:val="008A4763"/>
    <w:rsid w:val="008A48C0"/>
    <w:rsid w:val="008A5B82"/>
    <w:rsid w:val="008A6E96"/>
    <w:rsid w:val="008B0F70"/>
    <w:rsid w:val="008B3CB0"/>
    <w:rsid w:val="008B4C00"/>
    <w:rsid w:val="008B5821"/>
    <w:rsid w:val="008B5AD0"/>
    <w:rsid w:val="008B5CE7"/>
    <w:rsid w:val="008B5DA1"/>
    <w:rsid w:val="008B604D"/>
    <w:rsid w:val="008B6B38"/>
    <w:rsid w:val="008B7844"/>
    <w:rsid w:val="008C0117"/>
    <w:rsid w:val="008C2D83"/>
    <w:rsid w:val="008C3142"/>
    <w:rsid w:val="008C31C5"/>
    <w:rsid w:val="008C3C06"/>
    <w:rsid w:val="008C49EB"/>
    <w:rsid w:val="008C4C3E"/>
    <w:rsid w:val="008C4D09"/>
    <w:rsid w:val="008C4FB6"/>
    <w:rsid w:val="008C5CD6"/>
    <w:rsid w:val="008C6E21"/>
    <w:rsid w:val="008C78DF"/>
    <w:rsid w:val="008D00EE"/>
    <w:rsid w:val="008D1420"/>
    <w:rsid w:val="008D20C5"/>
    <w:rsid w:val="008D3E41"/>
    <w:rsid w:val="008D43F7"/>
    <w:rsid w:val="008D6442"/>
    <w:rsid w:val="008E0082"/>
    <w:rsid w:val="008E05BD"/>
    <w:rsid w:val="008E0F71"/>
    <w:rsid w:val="008E1832"/>
    <w:rsid w:val="008E25D0"/>
    <w:rsid w:val="008E2A8C"/>
    <w:rsid w:val="008E2C53"/>
    <w:rsid w:val="008E41DD"/>
    <w:rsid w:val="008E433A"/>
    <w:rsid w:val="008E4B73"/>
    <w:rsid w:val="008E4C24"/>
    <w:rsid w:val="008E5C7C"/>
    <w:rsid w:val="008E6F08"/>
    <w:rsid w:val="008E712E"/>
    <w:rsid w:val="008E71E0"/>
    <w:rsid w:val="008E73E7"/>
    <w:rsid w:val="008E78D6"/>
    <w:rsid w:val="008F0B03"/>
    <w:rsid w:val="008F113A"/>
    <w:rsid w:val="008F12F1"/>
    <w:rsid w:val="008F2E5F"/>
    <w:rsid w:val="008F32A5"/>
    <w:rsid w:val="008F3AA0"/>
    <w:rsid w:val="008F533F"/>
    <w:rsid w:val="008F5484"/>
    <w:rsid w:val="008F6C91"/>
    <w:rsid w:val="008F7C92"/>
    <w:rsid w:val="0090088E"/>
    <w:rsid w:val="00902002"/>
    <w:rsid w:val="00903802"/>
    <w:rsid w:val="009050EE"/>
    <w:rsid w:val="00905446"/>
    <w:rsid w:val="00905E95"/>
    <w:rsid w:val="0090618E"/>
    <w:rsid w:val="0090776C"/>
    <w:rsid w:val="00907B77"/>
    <w:rsid w:val="00910C52"/>
    <w:rsid w:val="00911387"/>
    <w:rsid w:val="0091256A"/>
    <w:rsid w:val="00912897"/>
    <w:rsid w:val="00916C05"/>
    <w:rsid w:val="009175AA"/>
    <w:rsid w:val="009178CA"/>
    <w:rsid w:val="009206E0"/>
    <w:rsid w:val="00922716"/>
    <w:rsid w:val="00922798"/>
    <w:rsid w:val="00922990"/>
    <w:rsid w:val="009230FF"/>
    <w:rsid w:val="009231C9"/>
    <w:rsid w:val="00923CB5"/>
    <w:rsid w:val="00923E2D"/>
    <w:rsid w:val="009245CD"/>
    <w:rsid w:val="0092482C"/>
    <w:rsid w:val="0092498F"/>
    <w:rsid w:val="00930AD2"/>
    <w:rsid w:val="0093145E"/>
    <w:rsid w:val="0093195C"/>
    <w:rsid w:val="00931AC0"/>
    <w:rsid w:val="00931C5A"/>
    <w:rsid w:val="00931F7C"/>
    <w:rsid w:val="00932606"/>
    <w:rsid w:val="00934635"/>
    <w:rsid w:val="00937185"/>
    <w:rsid w:val="009372D2"/>
    <w:rsid w:val="00940DC1"/>
    <w:rsid w:val="0094166C"/>
    <w:rsid w:val="00942AD8"/>
    <w:rsid w:val="009433A6"/>
    <w:rsid w:val="0094576B"/>
    <w:rsid w:val="00945AC0"/>
    <w:rsid w:val="00950CB6"/>
    <w:rsid w:val="00953319"/>
    <w:rsid w:val="00953752"/>
    <w:rsid w:val="00953A7F"/>
    <w:rsid w:val="0095689C"/>
    <w:rsid w:val="00956D07"/>
    <w:rsid w:val="00956F56"/>
    <w:rsid w:val="009604E0"/>
    <w:rsid w:val="00960AAE"/>
    <w:rsid w:val="00960E51"/>
    <w:rsid w:val="00960F65"/>
    <w:rsid w:val="00961202"/>
    <w:rsid w:val="0096157B"/>
    <w:rsid w:val="00962F1D"/>
    <w:rsid w:val="0096361F"/>
    <w:rsid w:val="009645E9"/>
    <w:rsid w:val="00964BF6"/>
    <w:rsid w:val="00964DA6"/>
    <w:rsid w:val="00965C09"/>
    <w:rsid w:val="00965D02"/>
    <w:rsid w:val="009661FA"/>
    <w:rsid w:val="00967150"/>
    <w:rsid w:val="009719DD"/>
    <w:rsid w:val="009719F9"/>
    <w:rsid w:val="00971FD5"/>
    <w:rsid w:val="00972572"/>
    <w:rsid w:val="0097427E"/>
    <w:rsid w:val="0097740D"/>
    <w:rsid w:val="00977E8D"/>
    <w:rsid w:val="00981516"/>
    <w:rsid w:val="009829F5"/>
    <w:rsid w:val="00982C8E"/>
    <w:rsid w:val="00984E12"/>
    <w:rsid w:val="00985222"/>
    <w:rsid w:val="009853C3"/>
    <w:rsid w:val="00985569"/>
    <w:rsid w:val="009867B4"/>
    <w:rsid w:val="009871F4"/>
    <w:rsid w:val="009910C4"/>
    <w:rsid w:val="00992E90"/>
    <w:rsid w:val="0099454A"/>
    <w:rsid w:val="009953C0"/>
    <w:rsid w:val="009954E8"/>
    <w:rsid w:val="00995D86"/>
    <w:rsid w:val="009963C6"/>
    <w:rsid w:val="00996441"/>
    <w:rsid w:val="00996745"/>
    <w:rsid w:val="00996FED"/>
    <w:rsid w:val="009A1FA0"/>
    <w:rsid w:val="009A25F9"/>
    <w:rsid w:val="009A44C1"/>
    <w:rsid w:val="009A4E12"/>
    <w:rsid w:val="009A5500"/>
    <w:rsid w:val="009A6241"/>
    <w:rsid w:val="009A6C01"/>
    <w:rsid w:val="009A6F73"/>
    <w:rsid w:val="009A7A80"/>
    <w:rsid w:val="009B08FB"/>
    <w:rsid w:val="009B11D4"/>
    <w:rsid w:val="009B1676"/>
    <w:rsid w:val="009B1B64"/>
    <w:rsid w:val="009B2129"/>
    <w:rsid w:val="009B2E2E"/>
    <w:rsid w:val="009B2EB1"/>
    <w:rsid w:val="009B3A76"/>
    <w:rsid w:val="009B3C97"/>
    <w:rsid w:val="009B45E6"/>
    <w:rsid w:val="009B492D"/>
    <w:rsid w:val="009B6218"/>
    <w:rsid w:val="009B694C"/>
    <w:rsid w:val="009B69D1"/>
    <w:rsid w:val="009B6D1D"/>
    <w:rsid w:val="009B7EAC"/>
    <w:rsid w:val="009C0607"/>
    <w:rsid w:val="009C1EEE"/>
    <w:rsid w:val="009C2F36"/>
    <w:rsid w:val="009C31DF"/>
    <w:rsid w:val="009C36EA"/>
    <w:rsid w:val="009C3803"/>
    <w:rsid w:val="009C39B5"/>
    <w:rsid w:val="009C431C"/>
    <w:rsid w:val="009C5207"/>
    <w:rsid w:val="009C5796"/>
    <w:rsid w:val="009C58CD"/>
    <w:rsid w:val="009C67A7"/>
    <w:rsid w:val="009C6BF6"/>
    <w:rsid w:val="009C6D4E"/>
    <w:rsid w:val="009C765C"/>
    <w:rsid w:val="009D0562"/>
    <w:rsid w:val="009D06AE"/>
    <w:rsid w:val="009D1327"/>
    <w:rsid w:val="009D2BDC"/>
    <w:rsid w:val="009D3007"/>
    <w:rsid w:val="009D32C5"/>
    <w:rsid w:val="009D397A"/>
    <w:rsid w:val="009D3D37"/>
    <w:rsid w:val="009D60A1"/>
    <w:rsid w:val="009D6136"/>
    <w:rsid w:val="009D6DA3"/>
    <w:rsid w:val="009E13E6"/>
    <w:rsid w:val="009E1999"/>
    <w:rsid w:val="009E44B4"/>
    <w:rsid w:val="009E4546"/>
    <w:rsid w:val="009E4E3E"/>
    <w:rsid w:val="009E5787"/>
    <w:rsid w:val="009E58AA"/>
    <w:rsid w:val="009E5F85"/>
    <w:rsid w:val="009E6A14"/>
    <w:rsid w:val="009F03E6"/>
    <w:rsid w:val="009F045E"/>
    <w:rsid w:val="009F0799"/>
    <w:rsid w:val="009F2ABB"/>
    <w:rsid w:val="009F3008"/>
    <w:rsid w:val="009F35AE"/>
    <w:rsid w:val="009F4611"/>
    <w:rsid w:val="009F4757"/>
    <w:rsid w:val="009F47CD"/>
    <w:rsid w:val="009F4F4D"/>
    <w:rsid w:val="009F572C"/>
    <w:rsid w:val="009F7A8A"/>
    <w:rsid w:val="00A00FFB"/>
    <w:rsid w:val="00A0138D"/>
    <w:rsid w:val="00A01533"/>
    <w:rsid w:val="00A017F7"/>
    <w:rsid w:val="00A01C82"/>
    <w:rsid w:val="00A01E19"/>
    <w:rsid w:val="00A02195"/>
    <w:rsid w:val="00A023C1"/>
    <w:rsid w:val="00A02426"/>
    <w:rsid w:val="00A02DC6"/>
    <w:rsid w:val="00A03A1E"/>
    <w:rsid w:val="00A04C0D"/>
    <w:rsid w:val="00A06320"/>
    <w:rsid w:val="00A06BB2"/>
    <w:rsid w:val="00A0725F"/>
    <w:rsid w:val="00A078CE"/>
    <w:rsid w:val="00A07EF1"/>
    <w:rsid w:val="00A109C4"/>
    <w:rsid w:val="00A10E35"/>
    <w:rsid w:val="00A11C76"/>
    <w:rsid w:val="00A12063"/>
    <w:rsid w:val="00A12FEA"/>
    <w:rsid w:val="00A1370C"/>
    <w:rsid w:val="00A138FF"/>
    <w:rsid w:val="00A13C63"/>
    <w:rsid w:val="00A14C66"/>
    <w:rsid w:val="00A153B6"/>
    <w:rsid w:val="00A1672A"/>
    <w:rsid w:val="00A16FC7"/>
    <w:rsid w:val="00A17042"/>
    <w:rsid w:val="00A17750"/>
    <w:rsid w:val="00A17AF7"/>
    <w:rsid w:val="00A2005B"/>
    <w:rsid w:val="00A209C4"/>
    <w:rsid w:val="00A20A0D"/>
    <w:rsid w:val="00A21600"/>
    <w:rsid w:val="00A21DED"/>
    <w:rsid w:val="00A224CD"/>
    <w:rsid w:val="00A23112"/>
    <w:rsid w:val="00A24EE2"/>
    <w:rsid w:val="00A2506D"/>
    <w:rsid w:val="00A252FE"/>
    <w:rsid w:val="00A2618A"/>
    <w:rsid w:val="00A30F9C"/>
    <w:rsid w:val="00A32EAB"/>
    <w:rsid w:val="00A331AB"/>
    <w:rsid w:val="00A33518"/>
    <w:rsid w:val="00A33E6D"/>
    <w:rsid w:val="00A353B9"/>
    <w:rsid w:val="00A354FF"/>
    <w:rsid w:val="00A35C4A"/>
    <w:rsid w:val="00A35F21"/>
    <w:rsid w:val="00A3756D"/>
    <w:rsid w:val="00A37836"/>
    <w:rsid w:val="00A40B03"/>
    <w:rsid w:val="00A415C6"/>
    <w:rsid w:val="00A41880"/>
    <w:rsid w:val="00A419A3"/>
    <w:rsid w:val="00A43575"/>
    <w:rsid w:val="00A43933"/>
    <w:rsid w:val="00A453C6"/>
    <w:rsid w:val="00A4634C"/>
    <w:rsid w:val="00A468AD"/>
    <w:rsid w:val="00A469FB"/>
    <w:rsid w:val="00A50120"/>
    <w:rsid w:val="00A5068A"/>
    <w:rsid w:val="00A508A9"/>
    <w:rsid w:val="00A50FB2"/>
    <w:rsid w:val="00A51C0D"/>
    <w:rsid w:val="00A54674"/>
    <w:rsid w:val="00A550D9"/>
    <w:rsid w:val="00A552F0"/>
    <w:rsid w:val="00A55687"/>
    <w:rsid w:val="00A56835"/>
    <w:rsid w:val="00A56A81"/>
    <w:rsid w:val="00A573C5"/>
    <w:rsid w:val="00A60306"/>
    <w:rsid w:val="00A60988"/>
    <w:rsid w:val="00A60AC6"/>
    <w:rsid w:val="00A619C5"/>
    <w:rsid w:val="00A61EBE"/>
    <w:rsid w:val="00A62A2A"/>
    <w:rsid w:val="00A62FE3"/>
    <w:rsid w:val="00A639F3"/>
    <w:rsid w:val="00A647BC"/>
    <w:rsid w:val="00A661CA"/>
    <w:rsid w:val="00A66B1F"/>
    <w:rsid w:val="00A66FB3"/>
    <w:rsid w:val="00A67356"/>
    <w:rsid w:val="00A70EFD"/>
    <w:rsid w:val="00A71982"/>
    <w:rsid w:val="00A71A23"/>
    <w:rsid w:val="00A73CFE"/>
    <w:rsid w:val="00A74FB4"/>
    <w:rsid w:val="00A75428"/>
    <w:rsid w:val="00A77BEC"/>
    <w:rsid w:val="00A80A4B"/>
    <w:rsid w:val="00A82E19"/>
    <w:rsid w:val="00A8343A"/>
    <w:rsid w:val="00A83829"/>
    <w:rsid w:val="00A83C11"/>
    <w:rsid w:val="00A8547E"/>
    <w:rsid w:val="00A862B6"/>
    <w:rsid w:val="00A865AE"/>
    <w:rsid w:val="00A87C03"/>
    <w:rsid w:val="00A90013"/>
    <w:rsid w:val="00A907AB"/>
    <w:rsid w:val="00A91E0A"/>
    <w:rsid w:val="00A922F1"/>
    <w:rsid w:val="00A927BB"/>
    <w:rsid w:val="00A93837"/>
    <w:rsid w:val="00A94909"/>
    <w:rsid w:val="00A95256"/>
    <w:rsid w:val="00A96658"/>
    <w:rsid w:val="00A97504"/>
    <w:rsid w:val="00AA046A"/>
    <w:rsid w:val="00AA067E"/>
    <w:rsid w:val="00AA175E"/>
    <w:rsid w:val="00AA1944"/>
    <w:rsid w:val="00AA3073"/>
    <w:rsid w:val="00AA3F95"/>
    <w:rsid w:val="00AA4C1F"/>
    <w:rsid w:val="00AA4FDD"/>
    <w:rsid w:val="00AA51BC"/>
    <w:rsid w:val="00AA55F1"/>
    <w:rsid w:val="00AA6389"/>
    <w:rsid w:val="00AA7691"/>
    <w:rsid w:val="00AA7A85"/>
    <w:rsid w:val="00AB3080"/>
    <w:rsid w:val="00AB3A05"/>
    <w:rsid w:val="00AB3A89"/>
    <w:rsid w:val="00AB3AE9"/>
    <w:rsid w:val="00AB3D1D"/>
    <w:rsid w:val="00AB5C58"/>
    <w:rsid w:val="00AB5F91"/>
    <w:rsid w:val="00AB639B"/>
    <w:rsid w:val="00AB6485"/>
    <w:rsid w:val="00AC081F"/>
    <w:rsid w:val="00AC0BBC"/>
    <w:rsid w:val="00AC0BE3"/>
    <w:rsid w:val="00AC1001"/>
    <w:rsid w:val="00AC1DA8"/>
    <w:rsid w:val="00AC330E"/>
    <w:rsid w:val="00AC3633"/>
    <w:rsid w:val="00AC4F48"/>
    <w:rsid w:val="00AC5E37"/>
    <w:rsid w:val="00AC697B"/>
    <w:rsid w:val="00AC6C90"/>
    <w:rsid w:val="00AC7445"/>
    <w:rsid w:val="00AC77E4"/>
    <w:rsid w:val="00AD014E"/>
    <w:rsid w:val="00AD2166"/>
    <w:rsid w:val="00AD2EDF"/>
    <w:rsid w:val="00AD2F8E"/>
    <w:rsid w:val="00AD301B"/>
    <w:rsid w:val="00AD3BEC"/>
    <w:rsid w:val="00AD5341"/>
    <w:rsid w:val="00AD67B3"/>
    <w:rsid w:val="00AD6800"/>
    <w:rsid w:val="00AD72D0"/>
    <w:rsid w:val="00AD7FF4"/>
    <w:rsid w:val="00AE01AC"/>
    <w:rsid w:val="00AE08EF"/>
    <w:rsid w:val="00AE1EC1"/>
    <w:rsid w:val="00AE21A3"/>
    <w:rsid w:val="00AE258E"/>
    <w:rsid w:val="00AE2F2A"/>
    <w:rsid w:val="00AE404B"/>
    <w:rsid w:val="00AE42E0"/>
    <w:rsid w:val="00AE4796"/>
    <w:rsid w:val="00AE5682"/>
    <w:rsid w:val="00AE5E2F"/>
    <w:rsid w:val="00AE60BC"/>
    <w:rsid w:val="00AE64F3"/>
    <w:rsid w:val="00AF041C"/>
    <w:rsid w:val="00AF04D5"/>
    <w:rsid w:val="00AF10A6"/>
    <w:rsid w:val="00AF1161"/>
    <w:rsid w:val="00AF3F1E"/>
    <w:rsid w:val="00AF403B"/>
    <w:rsid w:val="00AF468C"/>
    <w:rsid w:val="00AF4730"/>
    <w:rsid w:val="00AF543B"/>
    <w:rsid w:val="00AF6B15"/>
    <w:rsid w:val="00AF6B91"/>
    <w:rsid w:val="00AF6D2E"/>
    <w:rsid w:val="00AF6E3F"/>
    <w:rsid w:val="00B00435"/>
    <w:rsid w:val="00B0103F"/>
    <w:rsid w:val="00B03671"/>
    <w:rsid w:val="00B03F7F"/>
    <w:rsid w:val="00B0434A"/>
    <w:rsid w:val="00B046A7"/>
    <w:rsid w:val="00B0487E"/>
    <w:rsid w:val="00B04CEE"/>
    <w:rsid w:val="00B05173"/>
    <w:rsid w:val="00B06251"/>
    <w:rsid w:val="00B066DD"/>
    <w:rsid w:val="00B07918"/>
    <w:rsid w:val="00B103E9"/>
    <w:rsid w:val="00B115C9"/>
    <w:rsid w:val="00B11A17"/>
    <w:rsid w:val="00B12073"/>
    <w:rsid w:val="00B14C70"/>
    <w:rsid w:val="00B14F7C"/>
    <w:rsid w:val="00B1529F"/>
    <w:rsid w:val="00B15F55"/>
    <w:rsid w:val="00B17612"/>
    <w:rsid w:val="00B209B3"/>
    <w:rsid w:val="00B21D7E"/>
    <w:rsid w:val="00B2267E"/>
    <w:rsid w:val="00B22E3B"/>
    <w:rsid w:val="00B23C73"/>
    <w:rsid w:val="00B2576D"/>
    <w:rsid w:val="00B25A47"/>
    <w:rsid w:val="00B25C54"/>
    <w:rsid w:val="00B263A6"/>
    <w:rsid w:val="00B263B7"/>
    <w:rsid w:val="00B26439"/>
    <w:rsid w:val="00B2774F"/>
    <w:rsid w:val="00B279B2"/>
    <w:rsid w:val="00B30B8B"/>
    <w:rsid w:val="00B31136"/>
    <w:rsid w:val="00B31952"/>
    <w:rsid w:val="00B339B2"/>
    <w:rsid w:val="00B33ACB"/>
    <w:rsid w:val="00B33B1E"/>
    <w:rsid w:val="00B34144"/>
    <w:rsid w:val="00B3438C"/>
    <w:rsid w:val="00B36316"/>
    <w:rsid w:val="00B36DB4"/>
    <w:rsid w:val="00B37595"/>
    <w:rsid w:val="00B37F2B"/>
    <w:rsid w:val="00B40225"/>
    <w:rsid w:val="00B41438"/>
    <w:rsid w:val="00B41514"/>
    <w:rsid w:val="00B421EB"/>
    <w:rsid w:val="00B42439"/>
    <w:rsid w:val="00B42A37"/>
    <w:rsid w:val="00B42D4A"/>
    <w:rsid w:val="00B431DF"/>
    <w:rsid w:val="00B44E06"/>
    <w:rsid w:val="00B4591B"/>
    <w:rsid w:val="00B45F23"/>
    <w:rsid w:val="00B46370"/>
    <w:rsid w:val="00B465F0"/>
    <w:rsid w:val="00B4692B"/>
    <w:rsid w:val="00B46CD0"/>
    <w:rsid w:val="00B4750F"/>
    <w:rsid w:val="00B47F31"/>
    <w:rsid w:val="00B52B33"/>
    <w:rsid w:val="00B54C82"/>
    <w:rsid w:val="00B54CB7"/>
    <w:rsid w:val="00B55455"/>
    <w:rsid w:val="00B55E1C"/>
    <w:rsid w:val="00B57D25"/>
    <w:rsid w:val="00B602BC"/>
    <w:rsid w:val="00B6042E"/>
    <w:rsid w:val="00B64320"/>
    <w:rsid w:val="00B64728"/>
    <w:rsid w:val="00B64D6C"/>
    <w:rsid w:val="00B650A3"/>
    <w:rsid w:val="00B65225"/>
    <w:rsid w:val="00B65C3E"/>
    <w:rsid w:val="00B66B50"/>
    <w:rsid w:val="00B70983"/>
    <w:rsid w:val="00B7286E"/>
    <w:rsid w:val="00B72DFF"/>
    <w:rsid w:val="00B735D3"/>
    <w:rsid w:val="00B757D7"/>
    <w:rsid w:val="00B76239"/>
    <w:rsid w:val="00B7678E"/>
    <w:rsid w:val="00B76A83"/>
    <w:rsid w:val="00B77BCB"/>
    <w:rsid w:val="00B8122C"/>
    <w:rsid w:val="00B81319"/>
    <w:rsid w:val="00B8145F"/>
    <w:rsid w:val="00B815D0"/>
    <w:rsid w:val="00B81BEE"/>
    <w:rsid w:val="00B82333"/>
    <w:rsid w:val="00B82399"/>
    <w:rsid w:val="00B827AE"/>
    <w:rsid w:val="00B87BEE"/>
    <w:rsid w:val="00B9021A"/>
    <w:rsid w:val="00B917FA"/>
    <w:rsid w:val="00B91FF3"/>
    <w:rsid w:val="00B924CE"/>
    <w:rsid w:val="00B943B4"/>
    <w:rsid w:val="00B944F8"/>
    <w:rsid w:val="00B94E04"/>
    <w:rsid w:val="00B96411"/>
    <w:rsid w:val="00B9774C"/>
    <w:rsid w:val="00BA08B1"/>
    <w:rsid w:val="00BA1430"/>
    <w:rsid w:val="00BA2260"/>
    <w:rsid w:val="00BA365C"/>
    <w:rsid w:val="00BA482A"/>
    <w:rsid w:val="00BA557F"/>
    <w:rsid w:val="00BA5AF0"/>
    <w:rsid w:val="00BA69D6"/>
    <w:rsid w:val="00BA6B7F"/>
    <w:rsid w:val="00BB06F8"/>
    <w:rsid w:val="00BB0CA7"/>
    <w:rsid w:val="00BB0D6A"/>
    <w:rsid w:val="00BB36BA"/>
    <w:rsid w:val="00BB37FE"/>
    <w:rsid w:val="00BB41CE"/>
    <w:rsid w:val="00BB630E"/>
    <w:rsid w:val="00BB6EAD"/>
    <w:rsid w:val="00BB7B29"/>
    <w:rsid w:val="00BC1A74"/>
    <w:rsid w:val="00BC1B19"/>
    <w:rsid w:val="00BC1C5E"/>
    <w:rsid w:val="00BC1CBD"/>
    <w:rsid w:val="00BC26BE"/>
    <w:rsid w:val="00BC275D"/>
    <w:rsid w:val="00BC2919"/>
    <w:rsid w:val="00BC2B30"/>
    <w:rsid w:val="00BC35CA"/>
    <w:rsid w:val="00BC3CF5"/>
    <w:rsid w:val="00BC4CAF"/>
    <w:rsid w:val="00BC68EF"/>
    <w:rsid w:val="00BC6C53"/>
    <w:rsid w:val="00BC78B3"/>
    <w:rsid w:val="00BC7C9C"/>
    <w:rsid w:val="00BD213F"/>
    <w:rsid w:val="00BD26D1"/>
    <w:rsid w:val="00BD2E58"/>
    <w:rsid w:val="00BD3A78"/>
    <w:rsid w:val="00BD4E9A"/>
    <w:rsid w:val="00BD5D05"/>
    <w:rsid w:val="00BD6024"/>
    <w:rsid w:val="00BD7D94"/>
    <w:rsid w:val="00BD7E52"/>
    <w:rsid w:val="00BE0C34"/>
    <w:rsid w:val="00BE180B"/>
    <w:rsid w:val="00BE1A33"/>
    <w:rsid w:val="00BE336E"/>
    <w:rsid w:val="00BE365B"/>
    <w:rsid w:val="00BE659B"/>
    <w:rsid w:val="00BE7995"/>
    <w:rsid w:val="00BF091E"/>
    <w:rsid w:val="00BF2545"/>
    <w:rsid w:val="00BF3C04"/>
    <w:rsid w:val="00BF3F9F"/>
    <w:rsid w:val="00BF412E"/>
    <w:rsid w:val="00BF41D7"/>
    <w:rsid w:val="00BF4DEB"/>
    <w:rsid w:val="00BF5504"/>
    <w:rsid w:val="00BF73C6"/>
    <w:rsid w:val="00BF754C"/>
    <w:rsid w:val="00BF7AF5"/>
    <w:rsid w:val="00BF7F35"/>
    <w:rsid w:val="00C01DB1"/>
    <w:rsid w:val="00C02554"/>
    <w:rsid w:val="00C0266E"/>
    <w:rsid w:val="00C026EF"/>
    <w:rsid w:val="00C02EA6"/>
    <w:rsid w:val="00C03191"/>
    <w:rsid w:val="00C032ED"/>
    <w:rsid w:val="00C0552C"/>
    <w:rsid w:val="00C06AEB"/>
    <w:rsid w:val="00C06B50"/>
    <w:rsid w:val="00C07511"/>
    <w:rsid w:val="00C12EEB"/>
    <w:rsid w:val="00C144B7"/>
    <w:rsid w:val="00C14A0D"/>
    <w:rsid w:val="00C15CC5"/>
    <w:rsid w:val="00C16155"/>
    <w:rsid w:val="00C16A19"/>
    <w:rsid w:val="00C16DCE"/>
    <w:rsid w:val="00C16FAC"/>
    <w:rsid w:val="00C17CFA"/>
    <w:rsid w:val="00C203A1"/>
    <w:rsid w:val="00C216A5"/>
    <w:rsid w:val="00C21D0F"/>
    <w:rsid w:val="00C21F7B"/>
    <w:rsid w:val="00C22A27"/>
    <w:rsid w:val="00C22BFD"/>
    <w:rsid w:val="00C2302F"/>
    <w:rsid w:val="00C23148"/>
    <w:rsid w:val="00C23541"/>
    <w:rsid w:val="00C23592"/>
    <w:rsid w:val="00C23A36"/>
    <w:rsid w:val="00C23CBF"/>
    <w:rsid w:val="00C24DD5"/>
    <w:rsid w:val="00C26F43"/>
    <w:rsid w:val="00C30116"/>
    <w:rsid w:val="00C349D1"/>
    <w:rsid w:val="00C3632B"/>
    <w:rsid w:val="00C37935"/>
    <w:rsid w:val="00C37A08"/>
    <w:rsid w:val="00C40024"/>
    <w:rsid w:val="00C40F2C"/>
    <w:rsid w:val="00C40F64"/>
    <w:rsid w:val="00C4137B"/>
    <w:rsid w:val="00C414D7"/>
    <w:rsid w:val="00C423A4"/>
    <w:rsid w:val="00C427AE"/>
    <w:rsid w:val="00C4387E"/>
    <w:rsid w:val="00C43E89"/>
    <w:rsid w:val="00C465F9"/>
    <w:rsid w:val="00C5074F"/>
    <w:rsid w:val="00C51328"/>
    <w:rsid w:val="00C51F1D"/>
    <w:rsid w:val="00C521DE"/>
    <w:rsid w:val="00C52CEF"/>
    <w:rsid w:val="00C53E54"/>
    <w:rsid w:val="00C54032"/>
    <w:rsid w:val="00C56672"/>
    <w:rsid w:val="00C566F6"/>
    <w:rsid w:val="00C56A8D"/>
    <w:rsid w:val="00C603F0"/>
    <w:rsid w:val="00C617D6"/>
    <w:rsid w:val="00C61858"/>
    <w:rsid w:val="00C618D0"/>
    <w:rsid w:val="00C635AF"/>
    <w:rsid w:val="00C64006"/>
    <w:rsid w:val="00C6424D"/>
    <w:rsid w:val="00C648B8"/>
    <w:rsid w:val="00C65A04"/>
    <w:rsid w:val="00C667AC"/>
    <w:rsid w:val="00C67FC1"/>
    <w:rsid w:val="00C701E7"/>
    <w:rsid w:val="00C70BB7"/>
    <w:rsid w:val="00C70F9F"/>
    <w:rsid w:val="00C71348"/>
    <w:rsid w:val="00C71D8B"/>
    <w:rsid w:val="00C7257C"/>
    <w:rsid w:val="00C728D0"/>
    <w:rsid w:val="00C72CB8"/>
    <w:rsid w:val="00C738D7"/>
    <w:rsid w:val="00C75408"/>
    <w:rsid w:val="00C75544"/>
    <w:rsid w:val="00C759AF"/>
    <w:rsid w:val="00C75DBB"/>
    <w:rsid w:val="00C7661C"/>
    <w:rsid w:val="00C7771B"/>
    <w:rsid w:val="00C81607"/>
    <w:rsid w:val="00C84CAE"/>
    <w:rsid w:val="00C8500A"/>
    <w:rsid w:val="00C850A4"/>
    <w:rsid w:val="00C850C5"/>
    <w:rsid w:val="00C8566E"/>
    <w:rsid w:val="00C8723D"/>
    <w:rsid w:val="00C90D92"/>
    <w:rsid w:val="00C90DCF"/>
    <w:rsid w:val="00C90EBC"/>
    <w:rsid w:val="00C91200"/>
    <w:rsid w:val="00C91DC3"/>
    <w:rsid w:val="00C92B02"/>
    <w:rsid w:val="00C9669C"/>
    <w:rsid w:val="00C96A67"/>
    <w:rsid w:val="00CA11A8"/>
    <w:rsid w:val="00CA34DE"/>
    <w:rsid w:val="00CA4067"/>
    <w:rsid w:val="00CA4B1E"/>
    <w:rsid w:val="00CA4E95"/>
    <w:rsid w:val="00CA5694"/>
    <w:rsid w:val="00CA5C18"/>
    <w:rsid w:val="00CA5EF4"/>
    <w:rsid w:val="00CA7069"/>
    <w:rsid w:val="00CA720B"/>
    <w:rsid w:val="00CA77FB"/>
    <w:rsid w:val="00CB1B60"/>
    <w:rsid w:val="00CB3886"/>
    <w:rsid w:val="00CB46D6"/>
    <w:rsid w:val="00CB6025"/>
    <w:rsid w:val="00CB695A"/>
    <w:rsid w:val="00CB7AEF"/>
    <w:rsid w:val="00CC0299"/>
    <w:rsid w:val="00CC0870"/>
    <w:rsid w:val="00CC1BEC"/>
    <w:rsid w:val="00CC3487"/>
    <w:rsid w:val="00CC47E6"/>
    <w:rsid w:val="00CC4ED0"/>
    <w:rsid w:val="00CC4FF0"/>
    <w:rsid w:val="00CC56B0"/>
    <w:rsid w:val="00CC65E7"/>
    <w:rsid w:val="00CC701E"/>
    <w:rsid w:val="00CD07C5"/>
    <w:rsid w:val="00CD0B48"/>
    <w:rsid w:val="00CD0DDC"/>
    <w:rsid w:val="00CD27DD"/>
    <w:rsid w:val="00CD2D5C"/>
    <w:rsid w:val="00CD3486"/>
    <w:rsid w:val="00CD5140"/>
    <w:rsid w:val="00CD60E5"/>
    <w:rsid w:val="00CE096C"/>
    <w:rsid w:val="00CE117F"/>
    <w:rsid w:val="00CE1534"/>
    <w:rsid w:val="00CE19F1"/>
    <w:rsid w:val="00CE22C5"/>
    <w:rsid w:val="00CE28F7"/>
    <w:rsid w:val="00CE2AB2"/>
    <w:rsid w:val="00CE37AD"/>
    <w:rsid w:val="00CE3947"/>
    <w:rsid w:val="00CE3BF6"/>
    <w:rsid w:val="00CE401E"/>
    <w:rsid w:val="00CE41F6"/>
    <w:rsid w:val="00CE4451"/>
    <w:rsid w:val="00CE611D"/>
    <w:rsid w:val="00CE6931"/>
    <w:rsid w:val="00CE723F"/>
    <w:rsid w:val="00CF058A"/>
    <w:rsid w:val="00CF0746"/>
    <w:rsid w:val="00CF16AC"/>
    <w:rsid w:val="00CF1BB6"/>
    <w:rsid w:val="00CF1CD6"/>
    <w:rsid w:val="00CF2846"/>
    <w:rsid w:val="00CF4783"/>
    <w:rsid w:val="00CF5057"/>
    <w:rsid w:val="00CF5E7E"/>
    <w:rsid w:val="00CF5EFA"/>
    <w:rsid w:val="00D01487"/>
    <w:rsid w:val="00D01EEE"/>
    <w:rsid w:val="00D023DB"/>
    <w:rsid w:val="00D03350"/>
    <w:rsid w:val="00D04ADD"/>
    <w:rsid w:val="00D056C3"/>
    <w:rsid w:val="00D1103B"/>
    <w:rsid w:val="00D13161"/>
    <w:rsid w:val="00D132D9"/>
    <w:rsid w:val="00D14D56"/>
    <w:rsid w:val="00D14DDA"/>
    <w:rsid w:val="00D15630"/>
    <w:rsid w:val="00D16A67"/>
    <w:rsid w:val="00D17FC3"/>
    <w:rsid w:val="00D20CAB"/>
    <w:rsid w:val="00D213F4"/>
    <w:rsid w:val="00D21F6C"/>
    <w:rsid w:val="00D223E5"/>
    <w:rsid w:val="00D23677"/>
    <w:rsid w:val="00D239B2"/>
    <w:rsid w:val="00D24AB2"/>
    <w:rsid w:val="00D27113"/>
    <w:rsid w:val="00D275D1"/>
    <w:rsid w:val="00D322E3"/>
    <w:rsid w:val="00D32E82"/>
    <w:rsid w:val="00D3316B"/>
    <w:rsid w:val="00D3353C"/>
    <w:rsid w:val="00D34FFF"/>
    <w:rsid w:val="00D36563"/>
    <w:rsid w:val="00D37030"/>
    <w:rsid w:val="00D37D46"/>
    <w:rsid w:val="00D4205D"/>
    <w:rsid w:val="00D42B34"/>
    <w:rsid w:val="00D43556"/>
    <w:rsid w:val="00D446CF"/>
    <w:rsid w:val="00D45578"/>
    <w:rsid w:val="00D45835"/>
    <w:rsid w:val="00D4592E"/>
    <w:rsid w:val="00D46A1F"/>
    <w:rsid w:val="00D475F9"/>
    <w:rsid w:val="00D50303"/>
    <w:rsid w:val="00D50685"/>
    <w:rsid w:val="00D51098"/>
    <w:rsid w:val="00D512D5"/>
    <w:rsid w:val="00D5246A"/>
    <w:rsid w:val="00D530D4"/>
    <w:rsid w:val="00D538EC"/>
    <w:rsid w:val="00D53B3E"/>
    <w:rsid w:val="00D553DF"/>
    <w:rsid w:val="00D5573C"/>
    <w:rsid w:val="00D56623"/>
    <w:rsid w:val="00D6018C"/>
    <w:rsid w:val="00D619F3"/>
    <w:rsid w:val="00D62718"/>
    <w:rsid w:val="00D62D63"/>
    <w:rsid w:val="00D64DE0"/>
    <w:rsid w:val="00D6549A"/>
    <w:rsid w:val="00D670E3"/>
    <w:rsid w:val="00D7045B"/>
    <w:rsid w:val="00D70F19"/>
    <w:rsid w:val="00D71871"/>
    <w:rsid w:val="00D72BFA"/>
    <w:rsid w:val="00D7493B"/>
    <w:rsid w:val="00D75580"/>
    <w:rsid w:val="00D7589F"/>
    <w:rsid w:val="00D76080"/>
    <w:rsid w:val="00D7640C"/>
    <w:rsid w:val="00D7692B"/>
    <w:rsid w:val="00D76BED"/>
    <w:rsid w:val="00D7718D"/>
    <w:rsid w:val="00D80562"/>
    <w:rsid w:val="00D809C5"/>
    <w:rsid w:val="00D80D06"/>
    <w:rsid w:val="00D81295"/>
    <w:rsid w:val="00D823B6"/>
    <w:rsid w:val="00D849F7"/>
    <w:rsid w:val="00D86453"/>
    <w:rsid w:val="00D8654B"/>
    <w:rsid w:val="00D87F03"/>
    <w:rsid w:val="00D920CC"/>
    <w:rsid w:val="00D92FCB"/>
    <w:rsid w:val="00D93537"/>
    <w:rsid w:val="00D94374"/>
    <w:rsid w:val="00D9609E"/>
    <w:rsid w:val="00DA17A6"/>
    <w:rsid w:val="00DA3416"/>
    <w:rsid w:val="00DA3828"/>
    <w:rsid w:val="00DA4132"/>
    <w:rsid w:val="00DA41FF"/>
    <w:rsid w:val="00DA5718"/>
    <w:rsid w:val="00DA5A0D"/>
    <w:rsid w:val="00DA5DBB"/>
    <w:rsid w:val="00DA63E0"/>
    <w:rsid w:val="00DA7DCE"/>
    <w:rsid w:val="00DA7EFE"/>
    <w:rsid w:val="00DB037E"/>
    <w:rsid w:val="00DB0CAB"/>
    <w:rsid w:val="00DB1BDF"/>
    <w:rsid w:val="00DB3762"/>
    <w:rsid w:val="00DB48D7"/>
    <w:rsid w:val="00DB5734"/>
    <w:rsid w:val="00DB5784"/>
    <w:rsid w:val="00DB6C71"/>
    <w:rsid w:val="00DC0574"/>
    <w:rsid w:val="00DC0888"/>
    <w:rsid w:val="00DC16F3"/>
    <w:rsid w:val="00DC1A42"/>
    <w:rsid w:val="00DC1AC2"/>
    <w:rsid w:val="00DC1DD1"/>
    <w:rsid w:val="00DC3B2E"/>
    <w:rsid w:val="00DC3EBB"/>
    <w:rsid w:val="00DC5DE0"/>
    <w:rsid w:val="00DC5E5E"/>
    <w:rsid w:val="00DC703C"/>
    <w:rsid w:val="00DD0435"/>
    <w:rsid w:val="00DD0B83"/>
    <w:rsid w:val="00DD10FC"/>
    <w:rsid w:val="00DD2B47"/>
    <w:rsid w:val="00DD4037"/>
    <w:rsid w:val="00DD5278"/>
    <w:rsid w:val="00DD53EE"/>
    <w:rsid w:val="00DD5897"/>
    <w:rsid w:val="00DD5E6D"/>
    <w:rsid w:val="00DD5F66"/>
    <w:rsid w:val="00DD628C"/>
    <w:rsid w:val="00DD6914"/>
    <w:rsid w:val="00DD6929"/>
    <w:rsid w:val="00DD6AA1"/>
    <w:rsid w:val="00DE178F"/>
    <w:rsid w:val="00DE1882"/>
    <w:rsid w:val="00DE240D"/>
    <w:rsid w:val="00DE32D9"/>
    <w:rsid w:val="00DE4B3F"/>
    <w:rsid w:val="00DE4EA6"/>
    <w:rsid w:val="00DE6132"/>
    <w:rsid w:val="00DE68EA"/>
    <w:rsid w:val="00DE6C76"/>
    <w:rsid w:val="00DE76ED"/>
    <w:rsid w:val="00DE7F3C"/>
    <w:rsid w:val="00DF04A6"/>
    <w:rsid w:val="00DF13D9"/>
    <w:rsid w:val="00DF165A"/>
    <w:rsid w:val="00DF1BA3"/>
    <w:rsid w:val="00DF2541"/>
    <w:rsid w:val="00DF2FC3"/>
    <w:rsid w:val="00DF378E"/>
    <w:rsid w:val="00DF3BE9"/>
    <w:rsid w:val="00DF4E60"/>
    <w:rsid w:val="00DF60E7"/>
    <w:rsid w:val="00DF6E41"/>
    <w:rsid w:val="00DF7874"/>
    <w:rsid w:val="00DF7D52"/>
    <w:rsid w:val="00DF7EA1"/>
    <w:rsid w:val="00DF7F6D"/>
    <w:rsid w:val="00DF7FD6"/>
    <w:rsid w:val="00E01020"/>
    <w:rsid w:val="00E01B42"/>
    <w:rsid w:val="00E02DC1"/>
    <w:rsid w:val="00E03BF8"/>
    <w:rsid w:val="00E03EA6"/>
    <w:rsid w:val="00E04B36"/>
    <w:rsid w:val="00E054F5"/>
    <w:rsid w:val="00E05B4D"/>
    <w:rsid w:val="00E07647"/>
    <w:rsid w:val="00E076A0"/>
    <w:rsid w:val="00E07A82"/>
    <w:rsid w:val="00E10E09"/>
    <w:rsid w:val="00E12B6F"/>
    <w:rsid w:val="00E13C6B"/>
    <w:rsid w:val="00E1408E"/>
    <w:rsid w:val="00E152C6"/>
    <w:rsid w:val="00E1566F"/>
    <w:rsid w:val="00E1659A"/>
    <w:rsid w:val="00E170A4"/>
    <w:rsid w:val="00E20C55"/>
    <w:rsid w:val="00E22D6B"/>
    <w:rsid w:val="00E2355E"/>
    <w:rsid w:val="00E24463"/>
    <w:rsid w:val="00E247CA"/>
    <w:rsid w:val="00E24E11"/>
    <w:rsid w:val="00E25420"/>
    <w:rsid w:val="00E2636C"/>
    <w:rsid w:val="00E26865"/>
    <w:rsid w:val="00E26EBA"/>
    <w:rsid w:val="00E275BB"/>
    <w:rsid w:val="00E3079C"/>
    <w:rsid w:val="00E31064"/>
    <w:rsid w:val="00E3119F"/>
    <w:rsid w:val="00E31C78"/>
    <w:rsid w:val="00E31D79"/>
    <w:rsid w:val="00E31DB1"/>
    <w:rsid w:val="00E324F0"/>
    <w:rsid w:val="00E32847"/>
    <w:rsid w:val="00E32F80"/>
    <w:rsid w:val="00E339D6"/>
    <w:rsid w:val="00E34B4C"/>
    <w:rsid w:val="00E3541A"/>
    <w:rsid w:val="00E360AA"/>
    <w:rsid w:val="00E36DE2"/>
    <w:rsid w:val="00E375E2"/>
    <w:rsid w:val="00E37F50"/>
    <w:rsid w:val="00E40528"/>
    <w:rsid w:val="00E411C4"/>
    <w:rsid w:val="00E4150C"/>
    <w:rsid w:val="00E42072"/>
    <w:rsid w:val="00E42287"/>
    <w:rsid w:val="00E42350"/>
    <w:rsid w:val="00E423C2"/>
    <w:rsid w:val="00E450BE"/>
    <w:rsid w:val="00E46257"/>
    <w:rsid w:val="00E46479"/>
    <w:rsid w:val="00E46BC4"/>
    <w:rsid w:val="00E479AD"/>
    <w:rsid w:val="00E50B20"/>
    <w:rsid w:val="00E50CFA"/>
    <w:rsid w:val="00E516BD"/>
    <w:rsid w:val="00E51757"/>
    <w:rsid w:val="00E51A6A"/>
    <w:rsid w:val="00E53172"/>
    <w:rsid w:val="00E534EA"/>
    <w:rsid w:val="00E543E4"/>
    <w:rsid w:val="00E555D9"/>
    <w:rsid w:val="00E55E77"/>
    <w:rsid w:val="00E55F5B"/>
    <w:rsid w:val="00E56C64"/>
    <w:rsid w:val="00E5766A"/>
    <w:rsid w:val="00E61A2F"/>
    <w:rsid w:val="00E629D3"/>
    <w:rsid w:val="00E6313C"/>
    <w:rsid w:val="00E64981"/>
    <w:rsid w:val="00E651B0"/>
    <w:rsid w:val="00E6540C"/>
    <w:rsid w:val="00E676F1"/>
    <w:rsid w:val="00E67D39"/>
    <w:rsid w:val="00E71123"/>
    <w:rsid w:val="00E71A4D"/>
    <w:rsid w:val="00E71F3B"/>
    <w:rsid w:val="00E721B4"/>
    <w:rsid w:val="00E726C6"/>
    <w:rsid w:val="00E73328"/>
    <w:rsid w:val="00E74088"/>
    <w:rsid w:val="00E74A59"/>
    <w:rsid w:val="00E75B07"/>
    <w:rsid w:val="00E75C3B"/>
    <w:rsid w:val="00E75C56"/>
    <w:rsid w:val="00E80700"/>
    <w:rsid w:val="00E80E8B"/>
    <w:rsid w:val="00E81FD1"/>
    <w:rsid w:val="00E8206C"/>
    <w:rsid w:val="00E830EB"/>
    <w:rsid w:val="00E83289"/>
    <w:rsid w:val="00E8421F"/>
    <w:rsid w:val="00E84E50"/>
    <w:rsid w:val="00E863BC"/>
    <w:rsid w:val="00E86C01"/>
    <w:rsid w:val="00E878E1"/>
    <w:rsid w:val="00E87CED"/>
    <w:rsid w:val="00E904AF"/>
    <w:rsid w:val="00E904FF"/>
    <w:rsid w:val="00E90689"/>
    <w:rsid w:val="00E90A77"/>
    <w:rsid w:val="00E9299C"/>
    <w:rsid w:val="00E93316"/>
    <w:rsid w:val="00E95306"/>
    <w:rsid w:val="00E95480"/>
    <w:rsid w:val="00E956D1"/>
    <w:rsid w:val="00E95E3F"/>
    <w:rsid w:val="00E96F0D"/>
    <w:rsid w:val="00E97126"/>
    <w:rsid w:val="00EA0A48"/>
    <w:rsid w:val="00EA1418"/>
    <w:rsid w:val="00EA3CD2"/>
    <w:rsid w:val="00EA6CD5"/>
    <w:rsid w:val="00EA6CDE"/>
    <w:rsid w:val="00EA70D7"/>
    <w:rsid w:val="00EA7FFD"/>
    <w:rsid w:val="00EB1A63"/>
    <w:rsid w:val="00EB24E5"/>
    <w:rsid w:val="00EB263C"/>
    <w:rsid w:val="00EB5E0F"/>
    <w:rsid w:val="00EB76BB"/>
    <w:rsid w:val="00EB7F39"/>
    <w:rsid w:val="00EC00D3"/>
    <w:rsid w:val="00EC1155"/>
    <w:rsid w:val="00EC242B"/>
    <w:rsid w:val="00EC2D1D"/>
    <w:rsid w:val="00EC3DDB"/>
    <w:rsid w:val="00EC63B9"/>
    <w:rsid w:val="00EC6DD6"/>
    <w:rsid w:val="00EC71F9"/>
    <w:rsid w:val="00EC7B9B"/>
    <w:rsid w:val="00EC7BE3"/>
    <w:rsid w:val="00EC7E0F"/>
    <w:rsid w:val="00ED0383"/>
    <w:rsid w:val="00ED0C24"/>
    <w:rsid w:val="00ED125C"/>
    <w:rsid w:val="00ED14C7"/>
    <w:rsid w:val="00ED1561"/>
    <w:rsid w:val="00ED18A5"/>
    <w:rsid w:val="00ED19CF"/>
    <w:rsid w:val="00ED1C00"/>
    <w:rsid w:val="00ED2B54"/>
    <w:rsid w:val="00ED2D07"/>
    <w:rsid w:val="00ED5EF1"/>
    <w:rsid w:val="00EE0213"/>
    <w:rsid w:val="00EE0A40"/>
    <w:rsid w:val="00EE0D8E"/>
    <w:rsid w:val="00EE14BA"/>
    <w:rsid w:val="00EE3D31"/>
    <w:rsid w:val="00EE3E50"/>
    <w:rsid w:val="00EE49E1"/>
    <w:rsid w:val="00EE4C5F"/>
    <w:rsid w:val="00EE5843"/>
    <w:rsid w:val="00EE5ACF"/>
    <w:rsid w:val="00EE78A0"/>
    <w:rsid w:val="00EF12C0"/>
    <w:rsid w:val="00EF16C6"/>
    <w:rsid w:val="00EF1835"/>
    <w:rsid w:val="00EF1C54"/>
    <w:rsid w:val="00EF23A2"/>
    <w:rsid w:val="00EF2BD4"/>
    <w:rsid w:val="00EF321E"/>
    <w:rsid w:val="00EF41E9"/>
    <w:rsid w:val="00EF4DAE"/>
    <w:rsid w:val="00EF4EF7"/>
    <w:rsid w:val="00EF4F84"/>
    <w:rsid w:val="00EF52A1"/>
    <w:rsid w:val="00EF52B6"/>
    <w:rsid w:val="00EF5718"/>
    <w:rsid w:val="00EF627A"/>
    <w:rsid w:val="00EF647A"/>
    <w:rsid w:val="00EF6488"/>
    <w:rsid w:val="00EF665A"/>
    <w:rsid w:val="00EF68D8"/>
    <w:rsid w:val="00EF7871"/>
    <w:rsid w:val="00EF7904"/>
    <w:rsid w:val="00F005EC"/>
    <w:rsid w:val="00F015A0"/>
    <w:rsid w:val="00F01D61"/>
    <w:rsid w:val="00F02859"/>
    <w:rsid w:val="00F0296B"/>
    <w:rsid w:val="00F02AC2"/>
    <w:rsid w:val="00F03358"/>
    <w:rsid w:val="00F03FEE"/>
    <w:rsid w:val="00F046D6"/>
    <w:rsid w:val="00F056B0"/>
    <w:rsid w:val="00F056EE"/>
    <w:rsid w:val="00F062A6"/>
    <w:rsid w:val="00F07DD7"/>
    <w:rsid w:val="00F1057A"/>
    <w:rsid w:val="00F10741"/>
    <w:rsid w:val="00F10AD1"/>
    <w:rsid w:val="00F1125E"/>
    <w:rsid w:val="00F1218B"/>
    <w:rsid w:val="00F12278"/>
    <w:rsid w:val="00F137B2"/>
    <w:rsid w:val="00F13D7C"/>
    <w:rsid w:val="00F13DB3"/>
    <w:rsid w:val="00F14545"/>
    <w:rsid w:val="00F148D7"/>
    <w:rsid w:val="00F170B6"/>
    <w:rsid w:val="00F1739A"/>
    <w:rsid w:val="00F17AEA"/>
    <w:rsid w:val="00F20E93"/>
    <w:rsid w:val="00F21A5F"/>
    <w:rsid w:val="00F21AA7"/>
    <w:rsid w:val="00F220A2"/>
    <w:rsid w:val="00F2238F"/>
    <w:rsid w:val="00F2247A"/>
    <w:rsid w:val="00F22672"/>
    <w:rsid w:val="00F24316"/>
    <w:rsid w:val="00F25637"/>
    <w:rsid w:val="00F25C62"/>
    <w:rsid w:val="00F25D70"/>
    <w:rsid w:val="00F2607D"/>
    <w:rsid w:val="00F27A40"/>
    <w:rsid w:val="00F27C03"/>
    <w:rsid w:val="00F323CC"/>
    <w:rsid w:val="00F32414"/>
    <w:rsid w:val="00F327A7"/>
    <w:rsid w:val="00F32F48"/>
    <w:rsid w:val="00F3305C"/>
    <w:rsid w:val="00F33457"/>
    <w:rsid w:val="00F35478"/>
    <w:rsid w:val="00F35EFA"/>
    <w:rsid w:val="00F37C4C"/>
    <w:rsid w:val="00F40444"/>
    <w:rsid w:val="00F42035"/>
    <w:rsid w:val="00F43604"/>
    <w:rsid w:val="00F43B3B"/>
    <w:rsid w:val="00F43D93"/>
    <w:rsid w:val="00F44063"/>
    <w:rsid w:val="00F449F2"/>
    <w:rsid w:val="00F44A8C"/>
    <w:rsid w:val="00F46777"/>
    <w:rsid w:val="00F46FFE"/>
    <w:rsid w:val="00F47533"/>
    <w:rsid w:val="00F5053B"/>
    <w:rsid w:val="00F51AED"/>
    <w:rsid w:val="00F52677"/>
    <w:rsid w:val="00F53606"/>
    <w:rsid w:val="00F53678"/>
    <w:rsid w:val="00F54A8F"/>
    <w:rsid w:val="00F551FC"/>
    <w:rsid w:val="00F56D39"/>
    <w:rsid w:val="00F57224"/>
    <w:rsid w:val="00F5770F"/>
    <w:rsid w:val="00F57CBD"/>
    <w:rsid w:val="00F601D0"/>
    <w:rsid w:val="00F606DE"/>
    <w:rsid w:val="00F610D6"/>
    <w:rsid w:val="00F63205"/>
    <w:rsid w:val="00F64D4B"/>
    <w:rsid w:val="00F650DB"/>
    <w:rsid w:val="00F65D7D"/>
    <w:rsid w:val="00F666A0"/>
    <w:rsid w:val="00F6711C"/>
    <w:rsid w:val="00F6793D"/>
    <w:rsid w:val="00F67F45"/>
    <w:rsid w:val="00F70357"/>
    <w:rsid w:val="00F71FBD"/>
    <w:rsid w:val="00F725AA"/>
    <w:rsid w:val="00F73C04"/>
    <w:rsid w:val="00F757DC"/>
    <w:rsid w:val="00F7590C"/>
    <w:rsid w:val="00F76BCB"/>
    <w:rsid w:val="00F8113F"/>
    <w:rsid w:val="00F815BD"/>
    <w:rsid w:val="00F81803"/>
    <w:rsid w:val="00F81DCC"/>
    <w:rsid w:val="00F8272A"/>
    <w:rsid w:val="00F8281C"/>
    <w:rsid w:val="00F82BA2"/>
    <w:rsid w:val="00F83112"/>
    <w:rsid w:val="00F83C91"/>
    <w:rsid w:val="00F851A0"/>
    <w:rsid w:val="00F855C6"/>
    <w:rsid w:val="00F8637B"/>
    <w:rsid w:val="00F866CA"/>
    <w:rsid w:val="00F91940"/>
    <w:rsid w:val="00F91AA4"/>
    <w:rsid w:val="00F91BF4"/>
    <w:rsid w:val="00F91F32"/>
    <w:rsid w:val="00F92889"/>
    <w:rsid w:val="00F928E9"/>
    <w:rsid w:val="00F93310"/>
    <w:rsid w:val="00F93AB2"/>
    <w:rsid w:val="00F959FE"/>
    <w:rsid w:val="00F95D21"/>
    <w:rsid w:val="00F967C3"/>
    <w:rsid w:val="00F96BA4"/>
    <w:rsid w:val="00F97316"/>
    <w:rsid w:val="00F97E88"/>
    <w:rsid w:val="00FA0D74"/>
    <w:rsid w:val="00FA1163"/>
    <w:rsid w:val="00FA33BB"/>
    <w:rsid w:val="00FA391C"/>
    <w:rsid w:val="00FA3D22"/>
    <w:rsid w:val="00FA449E"/>
    <w:rsid w:val="00FA5660"/>
    <w:rsid w:val="00FA6158"/>
    <w:rsid w:val="00FA7369"/>
    <w:rsid w:val="00FB085B"/>
    <w:rsid w:val="00FB1236"/>
    <w:rsid w:val="00FB1D8F"/>
    <w:rsid w:val="00FB265C"/>
    <w:rsid w:val="00FB3234"/>
    <w:rsid w:val="00FB3438"/>
    <w:rsid w:val="00FB3BA5"/>
    <w:rsid w:val="00FB3BDF"/>
    <w:rsid w:val="00FB59A3"/>
    <w:rsid w:val="00FB5F16"/>
    <w:rsid w:val="00FB6273"/>
    <w:rsid w:val="00FB62FD"/>
    <w:rsid w:val="00FB6B59"/>
    <w:rsid w:val="00FB79B3"/>
    <w:rsid w:val="00FB7B18"/>
    <w:rsid w:val="00FC0540"/>
    <w:rsid w:val="00FC194D"/>
    <w:rsid w:val="00FC27E8"/>
    <w:rsid w:val="00FC33F4"/>
    <w:rsid w:val="00FC4AAD"/>
    <w:rsid w:val="00FC4D0F"/>
    <w:rsid w:val="00FC52F9"/>
    <w:rsid w:val="00FC650F"/>
    <w:rsid w:val="00FC7D8F"/>
    <w:rsid w:val="00FD16FB"/>
    <w:rsid w:val="00FD2C34"/>
    <w:rsid w:val="00FD4942"/>
    <w:rsid w:val="00FD55EE"/>
    <w:rsid w:val="00FD6C53"/>
    <w:rsid w:val="00FD7D74"/>
    <w:rsid w:val="00FD7EFF"/>
    <w:rsid w:val="00FE0434"/>
    <w:rsid w:val="00FE0522"/>
    <w:rsid w:val="00FE0C78"/>
    <w:rsid w:val="00FE0F8E"/>
    <w:rsid w:val="00FE16EF"/>
    <w:rsid w:val="00FE1B9B"/>
    <w:rsid w:val="00FE2D66"/>
    <w:rsid w:val="00FE32E1"/>
    <w:rsid w:val="00FE3657"/>
    <w:rsid w:val="00FE6015"/>
    <w:rsid w:val="00FE6899"/>
    <w:rsid w:val="00FE6B46"/>
    <w:rsid w:val="00FE6E7C"/>
    <w:rsid w:val="00FF113A"/>
    <w:rsid w:val="00FF2306"/>
    <w:rsid w:val="00FF2469"/>
    <w:rsid w:val="00FF2AB1"/>
    <w:rsid w:val="00FF3085"/>
    <w:rsid w:val="00FF3715"/>
    <w:rsid w:val="00FF3900"/>
    <w:rsid w:val="00FF497E"/>
    <w:rsid w:val="00FF4C75"/>
    <w:rsid w:val="00FF51D2"/>
    <w:rsid w:val="00FF6A05"/>
    <w:rsid w:val="00FF6F4B"/>
    <w:rsid w:val="00FF71EC"/>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BE7E68-9556-48E3-A9A6-34D5D8F6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9" w:qFormat="1"/>
    <w:lsdException w:name="heading 2" w:uiPriority="9" w:qFormat="1"/>
    <w:lsdException w:name="heading 3" w:uiPriority="9" w:qFormat="1"/>
    <w:lsdException w:name="heading 4" w:uiPriority="9" w:qFormat="1"/>
    <w:lsdException w:name="heading 5" w:semiHidden="1" w:uiPriority="2"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8"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uiPriority="24" w:qFormat="1"/>
    <w:lsdException w:name="Salutation" w:semiHidden="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71634A"/>
  </w:style>
  <w:style w:type="paragraph" w:styleId="Heading1">
    <w:name w:val="heading 1"/>
    <w:basedOn w:val="Normal"/>
    <w:next w:val="BodyText"/>
    <w:link w:val="Heading1Char"/>
    <w:uiPriority w:val="9"/>
    <w:qFormat/>
    <w:rsid w:val="00355BB2"/>
    <w:pPr>
      <w:keepNext/>
      <w:keepLines/>
      <w:spacing w:before="600" w:after="240"/>
      <w:outlineLvl w:val="0"/>
    </w:pPr>
    <w:rPr>
      <w:b/>
      <w:color w:val="1E1E1E"/>
      <w:sz w:val="44"/>
    </w:rPr>
  </w:style>
  <w:style w:type="paragraph" w:styleId="Heading2">
    <w:name w:val="heading 2"/>
    <w:basedOn w:val="Heading1"/>
    <w:next w:val="BodyText"/>
    <w:link w:val="Heading2Char"/>
    <w:uiPriority w:val="9"/>
    <w:qFormat/>
    <w:rsid w:val="00355BB2"/>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9"/>
    <w:qFormat/>
    <w:rsid w:val="00355BB2"/>
    <w:pPr>
      <w:numPr>
        <w:ilvl w:val="0"/>
      </w:numPr>
      <w:spacing w:before="240"/>
      <w:outlineLvl w:val="2"/>
    </w:pPr>
    <w:rPr>
      <w:color w:val="6D6F71"/>
      <w:sz w:val="28"/>
      <w:szCs w:val="28"/>
    </w:rPr>
  </w:style>
  <w:style w:type="paragraph" w:styleId="Heading4">
    <w:name w:val="heading 4"/>
    <w:basedOn w:val="Heading3"/>
    <w:next w:val="BodyText"/>
    <w:link w:val="Heading4Char"/>
    <w:uiPriority w:val="9"/>
    <w:qFormat/>
    <w:rsid w:val="00DD2B47"/>
    <w:pPr>
      <w:outlineLvl w:val="3"/>
    </w:pPr>
    <w:rPr>
      <w:color w:val="auto"/>
      <w:sz w:val="24"/>
      <w:szCs w:val="24"/>
    </w:rPr>
  </w:style>
  <w:style w:type="paragraph" w:styleId="Heading5">
    <w:name w:val="heading 5"/>
    <w:basedOn w:val="Heading4"/>
    <w:next w:val="BodyText"/>
    <w:link w:val="Heading5Char"/>
    <w:uiPriority w:val="2"/>
    <w:qFormat/>
    <w:rsid w:val="00ED14C7"/>
    <w:pPr>
      <w:outlineLvl w:val="4"/>
    </w:pPr>
    <w:rPr>
      <w:bCs/>
      <w:iCs/>
      <w:color w:val="6D6F71"/>
      <w:sz w:val="21"/>
      <w:szCs w:val="26"/>
    </w:rPr>
  </w:style>
  <w:style w:type="paragraph" w:styleId="Heading6">
    <w:name w:val="heading 6"/>
    <w:basedOn w:val="Normal"/>
    <w:next w:val="Normal"/>
    <w:link w:val="Heading6Char"/>
    <w:uiPriority w:val="99"/>
    <w:semiHidden/>
    <w:qFormat/>
    <w:rsid w:val="00FC650F"/>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FC650F"/>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FC650F"/>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FC650F"/>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8CA"/>
    <w:rPr>
      <w:b/>
      <w:color w:val="1E1E1E"/>
      <w:sz w:val="44"/>
    </w:rPr>
  </w:style>
  <w:style w:type="character" w:customStyle="1" w:styleId="Heading2Char">
    <w:name w:val="Heading 2 Char"/>
    <w:basedOn w:val="Heading1Char"/>
    <w:link w:val="Heading2"/>
    <w:rsid w:val="009178CA"/>
    <w:rPr>
      <w:b/>
      <w:color w:val="000000" w:themeColor="text1"/>
      <w:sz w:val="36"/>
    </w:rPr>
  </w:style>
  <w:style w:type="character" w:customStyle="1" w:styleId="Heading3Char">
    <w:name w:val="Heading 3 Char"/>
    <w:basedOn w:val="Heading2Char"/>
    <w:link w:val="Heading3"/>
    <w:rsid w:val="009178CA"/>
    <w:rPr>
      <w:b/>
      <w:color w:val="6D6F71"/>
      <w:sz w:val="28"/>
      <w:szCs w:val="28"/>
    </w:rPr>
  </w:style>
  <w:style w:type="character" w:customStyle="1" w:styleId="Heading4Char">
    <w:name w:val="Heading 4 Char"/>
    <w:basedOn w:val="Heading3Char"/>
    <w:link w:val="Heading4"/>
    <w:rsid w:val="00DD2B47"/>
    <w:rPr>
      <w:b/>
      <w:color w:val="6D6F71"/>
      <w:sz w:val="24"/>
      <w:szCs w:val="24"/>
    </w:rPr>
  </w:style>
  <w:style w:type="paragraph" w:customStyle="1" w:styleId="Instructiontowriters">
    <w:name w:val="Instruction to writers"/>
    <w:basedOn w:val="Normal"/>
    <w:link w:val="InstructiontowritersChar"/>
    <w:uiPriority w:val="23"/>
    <w:qFormat/>
    <w:rsid w:val="00825757"/>
    <w:pPr>
      <w:widowControl w:val="0"/>
      <w:shd w:val="clear" w:color="auto" w:fill="C1F0FF"/>
      <w:tabs>
        <w:tab w:val="left" w:pos="709"/>
      </w:tabs>
      <w:spacing w:after="120"/>
    </w:pPr>
    <w:rPr>
      <w:sz w:val="18"/>
      <w:lang w:eastAsia="en-US"/>
      <w14:numForm w14:val="lining"/>
    </w:rPr>
  </w:style>
  <w:style w:type="paragraph" w:customStyle="1" w:styleId="Checklistchecked">
    <w:name w:val="Checklist checked"/>
    <w:basedOn w:val="Checklist"/>
    <w:uiPriority w:val="45"/>
    <w:qFormat/>
    <w:rsid w:val="00355BB2"/>
    <w:pPr>
      <w:numPr>
        <w:numId w:val="19"/>
      </w:numPr>
    </w:pPr>
  </w:style>
  <w:style w:type="numbering" w:customStyle="1" w:styleId="ListBullet">
    <w:name w:val="List_Bullet"/>
    <w:uiPriority w:val="99"/>
    <w:rsid w:val="0068196A"/>
    <w:pPr>
      <w:numPr>
        <w:numId w:val="11"/>
      </w:numPr>
    </w:pPr>
  </w:style>
  <w:style w:type="paragraph" w:customStyle="1" w:styleId="Checklist">
    <w:name w:val="Checklist"/>
    <w:basedOn w:val="Normal"/>
    <w:uiPriority w:val="45"/>
    <w:qFormat/>
    <w:rsid w:val="00355BB2"/>
    <w:pPr>
      <w:numPr>
        <w:numId w:val="18"/>
      </w:numPr>
      <w:tabs>
        <w:tab w:val="left" w:pos="397"/>
      </w:tabs>
      <w:spacing w:after="120"/>
    </w:pPr>
  </w:style>
  <w:style w:type="paragraph" w:styleId="TOC4">
    <w:name w:val="toc 4"/>
    <w:basedOn w:val="TOC1"/>
    <w:next w:val="Normal"/>
    <w:uiPriority w:val="39"/>
    <w:rsid w:val="00621478"/>
    <w:pPr>
      <w:tabs>
        <w:tab w:val="left" w:pos="680"/>
      </w:tabs>
    </w:pPr>
  </w:style>
  <w:style w:type="paragraph" w:styleId="FootnoteText">
    <w:name w:val="footnote text"/>
    <w:basedOn w:val="Normal"/>
    <w:link w:val="FootnoteTextChar"/>
    <w:uiPriority w:val="28"/>
    <w:rsid w:val="00355BB2"/>
    <w:pPr>
      <w:widowControl w:val="0"/>
      <w:spacing w:after="40"/>
      <w:ind w:left="113" w:hanging="113"/>
    </w:pPr>
    <w:rPr>
      <w:sz w:val="18"/>
    </w:rPr>
  </w:style>
  <w:style w:type="table" w:styleId="TableGrid">
    <w:name w:val="Table Grid"/>
    <w:basedOn w:val="TableNormal"/>
    <w:rsid w:val="00FC650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355BB2"/>
    <w:pPr>
      <w:tabs>
        <w:tab w:val="right" w:leader="underscore" w:pos="8505"/>
      </w:tabs>
      <w:spacing w:before="240" w:line="240" w:lineRule="auto"/>
      <w:ind w:left="680" w:right="1134" w:hanging="680"/>
    </w:pPr>
    <w:rPr>
      <w:rFonts w:asciiTheme="minorHAnsi" w:hAnsiTheme="minorHAnsi"/>
      <w:b/>
      <w:noProof/>
      <w:color w:val="000000" w:themeColor="text1"/>
      <w:sz w:val="28"/>
      <w:szCs w:val="28"/>
    </w:rPr>
  </w:style>
  <w:style w:type="paragraph" w:styleId="TOC2">
    <w:name w:val="toc 2"/>
    <w:basedOn w:val="TOC1"/>
    <w:next w:val="Normal"/>
    <w:uiPriority w:val="39"/>
    <w:rsid w:val="00355BB2"/>
    <w:pPr>
      <w:tabs>
        <w:tab w:val="right" w:leader="dot" w:pos="8505"/>
      </w:tabs>
      <w:spacing w:before="80"/>
    </w:pPr>
    <w:rPr>
      <w:b w:val="0"/>
      <w:sz w:val="24"/>
      <w:szCs w:val="24"/>
      <w:lang w:eastAsia="en-US"/>
    </w:rPr>
  </w:style>
  <w:style w:type="paragraph" w:styleId="BalloonText">
    <w:name w:val="Balloon Text"/>
    <w:basedOn w:val="Normal"/>
    <w:uiPriority w:val="99"/>
    <w:semiHidden/>
    <w:rsid w:val="00FC650F"/>
    <w:rPr>
      <w:rFonts w:ascii="Tahoma" w:hAnsi="Tahoma" w:cs="Tahoma"/>
      <w:sz w:val="16"/>
      <w:szCs w:val="16"/>
    </w:rPr>
  </w:style>
  <w:style w:type="character" w:styleId="CommentReference">
    <w:name w:val="annotation reference"/>
    <w:basedOn w:val="DefaultParagraphFont"/>
    <w:uiPriority w:val="99"/>
    <w:semiHidden/>
    <w:qFormat/>
    <w:rsid w:val="00FC650F"/>
    <w:rPr>
      <w:sz w:val="16"/>
      <w:szCs w:val="16"/>
    </w:rPr>
  </w:style>
  <w:style w:type="paragraph" w:styleId="CommentText">
    <w:name w:val="annotation text"/>
    <w:basedOn w:val="Normal"/>
    <w:link w:val="CommentTextChar"/>
    <w:uiPriority w:val="99"/>
    <w:qFormat/>
    <w:rsid w:val="00FC650F"/>
  </w:style>
  <w:style w:type="paragraph" w:styleId="CommentSubject">
    <w:name w:val="annotation subject"/>
    <w:basedOn w:val="CommentText"/>
    <w:next w:val="CommentText"/>
    <w:link w:val="CommentSubjectChar"/>
    <w:uiPriority w:val="99"/>
    <w:semiHidden/>
    <w:rsid w:val="00FC650F"/>
    <w:rPr>
      <w:b/>
      <w:bCs/>
    </w:rPr>
  </w:style>
  <w:style w:type="numbering" w:customStyle="1" w:styleId="ListTableBullet">
    <w:name w:val="List_Table Bullet"/>
    <w:uiPriority w:val="99"/>
    <w:rsid w:val="00FC650F"/>
    <w:pPr>
      <w:numPr>
        <w:numId w:val="15"/>
      </w:numPr>
    </w:pPr>
  </w:style>
  <w:style w:type="paragraph" w:styleId="DocumentMap">
    <w:name w:val="Document Map"/>
    <w:basedOn w:val="Normal"/>
    <w:link w:val="DocumentMapChar"/>
    <w:uiPriority w:val="99"/>
    <w:semiHidden/>
    <w:rsid w:val="00FC650F"/>
    <w:pPr>
      <w:shd w:val="clear" w:color="auto" w:fill="000080"/>
    </w:pPr>
    <w:rPr>
      <w:rFonts w:ascii="Tahoma" w:hAnsi="Tahoma" w:cs="Tahoma"/>
    </w:rPr>
  </w:style>
  <w:style w:type="character" w:styleId="FootnoteReference">
    <w:name w:val="footnote reference"/>
    <w:basedOn w:val="DefaultParagraphFont"/>
    <w:uiPriority w:val="22"/>
    <w:rsid w:val="00355BB2"/>
    <w:rPr>
      <w:vertAlign w:val="superscript"/>
    </w:rPr>
  </w:style>
  <w:style w:type="paragraph" w:styleId="TOC3">
    <w:name w:val="toc 3"/>
    <w:basedOn w:val="TOC2"/>
    <w:next w:val="Normal"/>
    <w:uiPriority w:val="39"/>
    <w:rsid w:val="00355BB2"/>
    <w:pPr>
      <w:spacing w:before="60"/>
      <w:ind w:left="1360"/>
    </w:pPr>
    <w:rPr>
      <w:sz w:val="21"/>
      <w:szCs w:val="22"/>
    </w:rPr>
  </w:style>
  <w:style w:type="paragraph" w:styleId="Header">
    <w:name w:val="header"/>
    <w:basedOn w:val="Normal"/>
    <w:link w:val="HeaderChar"/>
    <w:uiPriority w:val="99"/>
    <w:rsid w:val="00FC650F"/>
    <w:pPr>
      <w:tabs>
        <w:tab w:val="center" w:pos="4153"/>
        <w:tab w:val="right" w:pos="8306"/>
      </w:tabs>
    </w:pPr>
  </w:style>
  <w:style w:type="paragraph" w:styleId="Footer">
    <w:name w:val="footer"/>
    <w:basedOn w:val="Normal"/>
    <w:link w:val="FooterChar"/>
    <w:uiPriority w:val="99"/>
    <w:rsid w:val="00355BB2"/>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23"/>
    <w:rsid w:val="00825757"/>
    <w:rPr>
      <w:sz w:val="18"/>
      <w:shd w:val="clear" w:color="auto" w:fill="C1F0FF"/>
      <w:lang w:eastAsia="en-US"/>
      <w14:numForm w14:val="lining"/>
    </w:rPr>
  </w:style>
  <w:style w:type="character" w:styleId="Hyperlink">
    <w:name w:val="Hyperlink"/>
    <w:uiPriority w:val="99"/>
    <w:qFormat/>
    <w:rsid w:val="00355BB2"/>
    <w:rPr>
      <w:rFonts w:ascii="Arial" w:hAnsi="Arial"/>
      <w:color w:val="0000FF"/>
      <w:u w:val="none"/>
    </w:rPr>
  </w:style>
  <w:style w:type="character" w:styleId="FollowedHyperlink">
    <w:name w:val="FollowedHyperlink"/>
    <w:uiPriority w:val="21"/>
    <w:qFormat/>
    <w:rsid w:val="00355BB2"/>
    <w:rPr>
      <w:rFonts w:ascii="Arial" w:hAnsi="Arial"/>
      <w:color w:val="7030A0"/>
      <w:u w:val="none"/>
    </w:rPr>
  </w:style>
  <w:style w:type="paragraph" w:customStyle="1" w:styleId="ListNumberbullet">
    <w:name w:val="List Number + bullet"/>
    <w:basedOn w:val="ListBullet0"/>
    <w:uiPriority w:val="6"/>
    <w:qFormat/>
    <w:rsid w:val="00355BB2"/>
    <w:pPr>
      <w:numPr>
        <w:ilvl w:val="1"/>
        <w:numId w:val="23"/>
      </w:numPr>
    </w:pPr>
  </w:style>
  <w:style w:type="paragraph" w:customStyle="1" w:styleId="Reference">
    <w:name w:val="Reference"/>
    <w:basedOn w:val="Normal"/>
    <w:uiPriority w:val="99"/>
    <w:semiHidden/>
    <w:rsid w:val="00916C05"/>
    <w:pPr>
      <w:tabs>
        <w:tab w:val="left" w:pos="284"/>
      </w:tabs>
      <w:spacing w:before="80"/>
      <w:ind w:left="284" w:hanging="284"/>
    </w:pPr>
  </w:style>
  <w:style w:type="paragraph" w:customStyle="1" w:styleId="ListNumberbullet2">
    <w:name w:val="List Number + bullet 2"/>
    <w:basedOn w:val="ListBullet2"/>
    <w:uiPriority w:val="6"/>
    <w:qFormat/>
    <w:rsid w:val="00355BB2"/>
    <w:pPr>
      <w:numPr>
        <w:ilvl w:val="2"/>
        <w:numId w:val="23"/>
      </w:numPr>
    </w:pPr>
  </w:style>
  <w:style w:type="paragraph" w:customStyle="1" w:styleId="NoHeading1">
    <w:name w:val="No. Heading 1"/>
    <w:basedOn w:val="Heading1"/>
    <w:next w:val="BodyText"/>
    <w:uiPriority w:val="8"/>
    <w:qFormat/>
    <w:rsid w:val="00355BB2"/>
    <w:pPr>
      <w:numPr>
        <w:numId w:val="26"/>
      </w:numPr>
    </w:pPr>
    <w:rPr>
      <w:color w:val="000000" w:themeColor="text1"/>
    </w:rPr>
  </w:style>
  <w:style w:type="character" w:customStyle="1" w:styleId="Heading5Char">
    <w:name w:val="Heading 5 Char"/>
    <w:basedOn w:val="DefaultParagraphFont"/>
    <w:link w:val="Heading5"/>
    <w:uiPriority w:val="3"/>
    <w:rsid w:val="00ED14C7"/>
    <w:rPr>
      <w:b/>
      <w:bCs/>
      <w:iCs/>
      <w:color w:val="6D6F71"/>
      <w:szCs w:val="26"/>
    </w:rPr>
  </w:style>
  <w:style w:type="paragraph" w:styleId="Caption">
    <w:name w:val="caption"/>
    <w:basedOn w:val="Normal"/>
    <w:next w:val="Normal"/>
    <w:uiPriority w:val="9"/>
    <w:qFormat/>
    <w:rsid w:val="00355BB2"/>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355BB2"/>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355BB2"/>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355BB2"/>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355BB2"/>
    <w:rPr>
      <w:rFonts w:cs="Arial"/>
      <w:color w:val="6F7378" w:themeColor="background2" w:themeShade="80"/>
      <w:kern w:val="28"/>
      <w:sz w:val="32"/>
      <w:szCs w:val="32"/>
    </w:rPr>
  </w:style>
  <w:style w:type="paragraph" w:styleId="Date">
    <w:name w:val="Date"/>
    <w:basedOn w:val="Normal"/>
    <w:next w:val="Normal"/>
    <w:link w:val="DateChar"/>
    <w:uiPriority w:val="25"/>
    <w:qFormat/>
    <w:rsid w:val="00355BB2"/>
    <w:rPr>
      <w:rFonts w:cs="Arial"/>
      <w:color w:val="808184"/>
      <w:kern w:val="28"/>
      <w:sz w:val="24"/>
      <w:szCs w:val="28"/>
    </w:rPr>
  </w:style>
  <w:style w:type="character" w:customStyle="1" w:styleId="DateChar">
    <w:name w:val="Date Char"/>
    <w:basedOn w:val="DefaultParagraphFont"/>
    <w:link w:val="Date"/>
    <w:uiPriority w:val="25"/>
    <w:rsid w:val="00355BB2"/>
    <w:rPr>
      <w:rFonts w:cs="Arial"/>
      <w:color w:val="808184"/>
      <w:kern w:val="28"/>
      <w:sz w:val="24"/>
      <w:szCs w:val="28"/>
    </w:rPr>
  </w:style>
  <w:style w:type="paragraph" w:styleId="TOCHeading">
    <w:name w:val="TOC Heading"/>
    <w:next w:val="Normal"/>
    <w:uiPriority w:val="39"/>
    <w:qFormat/>
    <w:rsid w:val="00355BB2"/>
    <w:pPr>
      <w:spacing w:before="440" w:after="400"/>
      <w:outlineLvl w:val="0"/>
    </w:pPr>
    <w:rPr>
      <w:rFonts w:cs="Tahoma"/>
      <w:b/>
      <w:bCs/>
      <w:sz w:val="44"/>
      <w:szCs w:val="44"/>
    </w:rPr>
  </w:style>
  <w:style w:type="table" w:customStyle="1" w:styleId="QCAAtablestyle4">
    <w:name w:val="QCAA table style 4"/>
    <w:basedOn w:val="TableGrid"/>
    <w:rsid w:val="0030542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30542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30542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57" w:type="dxa"/>
        <w:bottom w:w="57" w:type="dxa"/>
        <w:right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6C3051"/>
    <w:pPr>
      <w:spacing w:after="120"/>
    </w:pPr>
  </w:style>
  <w:style w:type="paragraph" w:styleId="ListNumber">
    <w:name w:val="List Number"/>
    <w:basedOn w:val="Normal"/>
    <w:uiPriority w:val="5"/>
    <w:qFormat/>
    <w:rsid w:val="00355BB2"/>
    <w:pPr>
      <w:numPr>
        <w:numId w:val="22"/>
      </w:numPr>
      <w:spacing w:after="120"/>
    </w:pPr>
  </w:style>
  <w:style w:type="paragraph" w:styleId="ListNumber2">
    <w:name w:val="List Number 2"/>
    <w:basedOn w:val="Normal"/>
    <w:uiPriority w:val="5"/>
    <w:qFormat/>
    <w:rsid w:val="00F5053B"/>
    <w:pPr>
      <w:numPr>
        <w:ilvl w:val="1"/>
        <w:numId w:val="22"/>
      </w:numPr>
      <w:spacing w:after="120"/>
    </w:pPr>
  </w:style>
  <w:style w:type="paragraph" w:styleId="ListNumber3">
    <w:name w:val="List Number 3"/>
    <w:basedOn w:val="Normal"/>
    <w:uiPriority w:val="5"/>
    <w:qFormat/>
    <w:rsid w:val="00F5053B"/>
    <w:pPr>
      <w:numPr>
        <w:ilvl w:val="2"/>
        <w:numId w:val="22"/>
      </w:numPr>
      <w:spacing w:after="120"/>
    </w:pPr>
  </w:style>
  <w:style w:type="numbering" w:customStyle="1" w:styleId="ListNumber0">
    <w:name w:val="List_Number"/>
    <w:uiPriority w:val="99"/>
    <w:rsid w:val="00FC650F"/>
    <w:pPr>
      <w:numPr>
        <w:numId w:val="13"/>
      </w:numPr>
    </w:pPr>
  </w:style>
  <w:style w:type="paragraph" w:customStyle="1" w:styleId="NoHeading2">
    <w:name w:val="No. Heading 2"/>
    <w:basedOn w:val="Heading2"/>
    <w:next w:val="BodyText"/>
    <w:uiPriority w:val="8"/>
    <w:qFormat/>
    <w:rsid w:val="00355BB2"/>
    <w:pPr>
      <w:numPr>
        <w:numId w:val="26"/>
      </w:numPr>
    </w:pPr>
  </w:style>
  <w:style w:type="paragraph" w:customStyle="1" w:styleId="NoHeading3">
    <w:name w:val="No. Heading 3"/>
    <w:basedOn w:val="Heading3"/>
    <w:next w:val="BodyText"/>
    <w:uiPriority w:val="8"/>
    <w:qFormat/>
    <w:rsid w:val="00355BB2"/>
    <w:pPr>
      <w:numPr>
        <w:ilvl w:val="2"/>
        <w:numId w:val="26"/>
      </w:numPr>
    </w:pPr>
    <w:rPr>
      <w:color w:val="808184"/>
    </w:rPr>
  </w:style>
  <w:style w:type="paragraph" w:customStyle="1" w:styleId="TableBullet2">
    <w:name w:val="Table Bullet 2"/>
    <w:basedOn w:val="TableBullet"/>
    <w:uiPriority w:val="14"/>
    <w:qFormat/>
    <w:rsid w:val="00355BB2"/>
    <w:pPr>
      <w:widowControl w:val="0"/>
      <w:numPr>
        <w:ilvl w:val="1"/>
      </w:numPr>
    </w:pPr>
    <w:rPr>
      <w:szCs w:val="18"/>
    </w:rPr>
  </w:style>
  <w:style w:type="numbering" w:customStyle="1" w:styleId="ListGroupHeadings">
    <w:name w:val="List_GroupHeadings"/>
    <w:uiPriority w:val="99"/>
    <w:rsid w:val="00355BB2"/>
    <w:pPr>
      <w:numPr>
        <w:numId w:val="20"/>
      </w:numPr>
    </w:pPr>
  </w:style>
  <w:style w:type="paragraph" w:customStyle="1" w:styleId="TableBullet">
    <w:name w:val="Table Bullet"/>
    <w:basedOn w:val="Tabletext"/>
    <w:link w:val="TableBulletChar"/>
    <w:uiPriority w:val="14"/>
    <w:qFormat/>
    <w:rsid w:val="00355BB2"/>
    <w:pPr>
      <w:numPr>
        <w:numId w:val="27"/>
      </w:numPr>
    </w:pPr>
    <w:rPr>
      <w:color w:val="000000" w:themeColor="text1"/>
      <w:lang w:eastAsia="en-US"/>
    </w:rPr>
  </w:style>
  <w:style w:type="paragraph" w:customStyle="1" w:styleId="ID">
    <w:name w:val="ID"/>
    <w:basedOn w:val="Normal"/>
    <w:uiPriority w:val="26"/>
    <w:rsid w:val="00355BB2"/>
    <w:rPr>
      <w:color w:val="6F7378" w:themeColor="background2" w:themeShade="80"/>
      <w:sz w:val="10"/>
      <w:szCs w:val="10"/>
    </w:rPr>
  </w:style>
  <w:style w:type="paragraph" w:styleId="BodyText">
    <w:name w:val="Body Text"/>
    <w:basedOn w:val="Normal"/>
    <w:link w:val="BodyTextChar"/>
    <w:qFormat/>
    <w:rsid w:val="00355BB2"/>
    <w:pPr>
      <w:spacing w:after="120"/>
    </w:pPr>
  </w:style>
  <w:style w:type="character" w:customStyle="1" w:styleId="BodyTextChar">
    <w:name w:val="Body Text Char"/>
    <w:basedOn w:val="DefaultParagraphFont"/>
    <w:link w:val="BodyText"/>
    <w:qFormat/>
    <w:rsid w:val="00355BB2"/>
  </w:style>
  <w:style w:type="paragraph" w:styleId="ListBullet0">
    <w:name w:val="List Bullet"/>
    <w:basedOn w:val="Normal"/>
    <w:uiPriority w:val="4"/>
    <w:qFormat/>
    <w:rsid w:val="00F25D70"/>
    <w:pPr>
      <w:numPr>
        <w:numId w:val="32"/>
      </w:numPr>
      <w:spacing w:after="120"/>
    </w:pPr>
    <w:rPr>
      <w14:numForm w14:val="lining"/>
    </w:rPr>
  </w:style>
  <w:style w:type="paragraph" w:styleId="ListBullet2">
    <w:name w:val="List Bullet 2"/>
    <w:basedOn w:val="ListBullet0"/>
    <w:uiPriority w:val="4"/>
    <w:qFormat/>
    <w:rsid w:val="00F25D70"/>
    <w:pPr>
      <w:numPr>
        <w:ilvl w:val="1"/>
      </w:numPr>
    </w:pPr>
  </w:style>
  <w:style w:type="paragraph" w:styleId="ListBullet3">
    <w:name w:val="List Bullet 3"/>
    <w:basedOn w:val="ListBullet2"/>
    <w:uiPriority w:val="4"/>
    <w:qFormat/>
    <w:rsid w:val="00F25D70"/>
    <w:pPr>
      <w:numPr>
        <w:ilvl w:val="2"/>
      </w:numPr>
    </w:pPr>
  </w:style>
  <w:style w:type="numbering" w:customStyle="1" w:styleId="ListHeadings">
    <w:name w:val="List_Headings"/>
    <w:uiPriority w:val="99"/>
    <w:rsid w:val="00FC650F"/>
    <w:pPr>
      <w:numPr>
        <w:numId w:val="12"/>
      </w:numPr>
    </w:pPr>
  </w:style>
  <w:style w:type="paragraph" w:styleId="TOC5">
    <w:name w:val="toc 5"/>
    <w:basedOn w:val="TOC2"/>
    <w:next w:val="Normal"/>
    <w:uiPriority w:val="39"/>
    <w:rsid w:val="00621478"/>
    <w:pPr>
      <w:tabs>
        <w:tab w:val="left" w:pos="680"/>
      </w:tabs>
    </w:pPr>
  </w:style>
  <w:style w:type="paragraph" w:styleId="TOC6">
    <w:name w:val="toc 6"/>
    <w:basedOn w:val="TOC3"/>
    <w:next w:val="Normal"/>
    <w:uiPriority w:val="39"/>
    <w:rsid w:val="00FC650F"/>
    <w:pPr>
      <w:tabs>
        <w:tab w:val="left" w:pos="1531"/>
      </w:tabs>
      <w:ind w:left="1531" w:hanging="851"/>
    </w:pPr>
  </w:style>
  <w:style w:type="paragraph" w:styleId="TOC9">
    <w:name w:val="toc 9"/>
    <w:basedOn w:val="Normal"/>
    <w:next w:val="Normal"/>
    <w:uiPriority w:val="39"/>
    <w:rsid w:val="00FC650F"/>
    <w:pPr>
      <w:tabs>
        <w:tab w:val="left" w:pos="1134"/>
        <w:tab w:val="right" w:leader="dot" w:pos="8505"/>
      </w:tabs>
      <w:spacing w:before="80"/>
      <w:ind w:left="1134" w:right="1134" w:hanging="1134"/>
    </w:pPr>
  </w:style>
  <w:style w:type="paragraph" w:styleId="TOC7">
    <w:name w:val="toc 7"/>
    <w:basedOn w:val="Normal"/>
    <w:next w:val="Normal"/>
    <w:uiPriority w:val="39"/>
    <w:rsid w:val="00FC650F"/>
  </w:style>
  <w:style w:type="paragraph" w:styleId="TOC8">
    <w:name w:val="toc 8"/>
    <w:basedOn w:val="Normal"/>
    <w:next w:val="Normal"/>
    <w:uiPriority w:val="39"/>
    <w:rsid w:val="00FC650F"/>
  </w:style>
  <w:style w:type="numbering" w:customStyle="1" w:styleId="ListGroupListBullets">
    <w:name w:val="List_GroupListBullets"/>
    <w:uiPriority w:val="99"/>
    <w:rsid w:val="00F25D70"/>
    <w:pPr>
      <w:numPr>
        <w:numId w:val="21"/>
      </w:numPr>
    </w:pPr>
  </w:style>
  <w:style w:type="paragraph" w:styleId="Quote">
    <w:name w:val="Quote"/>
    <w:basedOn w:val="Normal"/>
    <w:next w:val="Normal"/>
    <w:link w:val="QuoteChar"/>
    <w:uiPriority w:val="50"/>
    <w:qFormat/>
    <w:rsid w:val="00355BB2"/>
    <w:pPr>
      <w:spacing w:after="120"/>
      <w:ind w:left="284" w:right="284"/>
    </w:pPr>
    <w:rPr>
      <w:sz w:val="18"/>
    </w:rPr>
  </w:style>
  <w:style w:type="character" w:customStyle="1" w:styleId="QuoteChar">
    <w:name w:val="Quote Char"/>
    <w:basedOn w:val="DefaultParagraphFont"/>
    <w:link w:val="Quote"/>
    <w:uiPriority w:val="50"/>
    <w:rsid w:val="00355BB2"/>
    <w:rPr>
      <w:sz w:val="18"/>
    </w:rPr>
  </w:style>
  <w:style w:type="paragraph" w:customStyle="1" w:styleId="TableBullet3">
    <w:name w:val="Table Bullet 3"/>
    <w:basedOn w:val="TableBullet2"/>
    <w:uiPriority w:val="14"/>
    <w:qFormat/>
    <w:rsid w:val="00355BB2"/>
    <w:pPr>
      <w:numPr>
        <w:ilvl w:val="2"/>
      </w:numPr>
    </w:pPr>
  </w:style>
  <w:style w:type="paragraph" w:customStyle="1" w:styleId="TableNumber2">
    <w:name w:val="Table Number 2"/>
    <w:basedOn w:val="TableNumber"/>
    <w:uiPriority w:val="15"/>
    <w:qFormat/>
    <w:rsid w:val="00A468AD"/>
    <w:pPr>
      <w:numPr>
        <w:ilvl w:val="1"/>
      </w:numPr>
      <w:spacing w:line="240" w:lineRule="auto"/>
    </w:pPr>
  </w:style>
  <w:style w:type="paragraph" w:customStyle="1" w:styleId="TableNumber">
    <w:name w:val="Table Number"/>
    <w:basedOn w:val="Tabletext"/>
    <w:uiPriority w:val="15"/>
    <w:qFormat/>
    <w:rsid w:val="00A468AD"/>
    <w:pPr>
      <w:numPr>
        <w:numId w:val="28"/>
      </w:numPr>
    </w:pPr>
    <w:rPr>
      <w:rFonts w:eastAsiaTheme="minorHAnsi" w:cstheme="minorBidi"/>
      <w:szCs w:val="22"/>
      <w:lang w:eastAsia="en-US"/>
    </w:rPr>
  </w:style>
  <w:style w:type="numbering" w:customStyle="1" w:styleId="TableBullets">
    <w:name w:val="TableBullets"/>
    <w:uiPriority w:val="99"/>
    <w:rsid w:val="00FC650F"/>
    <w:pPr>
      <w:numPr>
        <w:numId w:val="17"/>
      </w:numPr>
    </w:pPr>
  </w:style>
  <w:style w:type="numbering" w:customStyle="1" w:styleId="TableBullet0">
    <w:name w:val="TableBullet"/>
    <w:uiPriority w:val="99"/>
    <w:rsid w:val="00FC650F"/>
  </w:style>
  <w:style w:type="numbering" w:customStyle="1" w:styleId="ListPara">
    <w:name w:val="ListPara"/>
    <w:uiPriority w:val="99"/>
    <w:rsid w:val="00B65C3E"/>
    <w:pPr>
      <w:numPr>
        <w:numId w:val="3"/>
      </w:numPr>
    </w:pPr>
  </w:style>
  <w:style w:type="numbering" w:customStyle="1" w:styleId="ListParagraph">
    <w:name w:val="List_Paragraph"/>
    <w:uiPriority w:val="99"/>
    <w:rsid w:val="00FC650F"/>
    <w:pPr>
      <w:numPr>
        <w:numId w:val="14"/>
      </w:numPr>
    </w:pPr>
  </w:style>
  <w:style w:type="paragraph" w:customStyle="1" w:styleId="TableNumber3">
    <w:name w:val="Table Number 3"/>
    <w:basedOn w:val="TableNumber2"/>
    <w:uiPriority w:val="15"/>
    <w:qFormat/>
    <w:rsid w:val="00A468AD"/>
    <w:pPr>
      <w:numPr>
        <w:ilvl w:val="2"/>
      </w:numPr>
    </w:pPr>
  </w:style>
  <w:style w:type="numbering" w:customStyle="1" w:styleId="ListTableNumber">
    <w:name w:val="List_TableNumber"/>
    <w:uiPriority w:val="99"/>
    <w:rsid w:val="00FC650F"/>
    <w:pPr>
      <w:numPr>
        <w:numId w:val="16"/>
      </w:numPr>
    </w:pPr>
  </w:style>
  <w:style w:type="table" w:styleId="Table3Deffects3">
    <w:name w:val="Table 3D effects 3"/>
    <w:basedOn w:val="TableNormal"/>
    <w:rsid w:val="00FC650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GroupListNumber">
    <w:name w:val="List_GroupListNumber"/>
    <w:uiPriority w:val="99"/>
    <w:rsid w:val="00F5053B"/>
    <w:pPr>
      <w:numPr>
        <w:numId w:val="22"/>
      </w:numPr>
    </w:pPr>
  </w:style>
  <w:style w:type="numbering" w:customStyle="1" w:styleId="ListInstruction">
    <w:name w:val="List_Instruction"/>
    <w:uiPriority w:val="99"/>
    <w:rsid w:val="00457AB7"/>
    <w:pPr>
      <w:numPr>
        <w:numId w:val="4"/>
      </w:numPr>
    </w:pPr>
  </w:style>
  <w:style w:type="numbering" w:customStyle="1" w:styleId="ListBullet1">
    <w:name w:val="List_Bullet1"/>
    <w:uiPriority w:val="99"/>
    <w:rsid w:val="0097427E"/>
    <w:pPr>
      <w:numPr>
        <w:numId w:val="2"/>
      </w:numPr>
    </w:pPr>
  </w:style>
  <w:style w:type="numbering" w:customStyle="1" w:styleId="BulletsList">
    <w:name w:val="BulletsList"/>
    <w:uiPriority w:val="99"/>
    <w:rsid w:val="004A5E22"/>
    <w:pPr>
      <w:numPr>
        <w:numId w:val="5"/>
      </w:numPr>
    </w:pPr>
  </w:style>
  <w:style w:type="numbering" w:customStyle="1" w:styleId="BulletsList1">
    <w:name w:val="BulletsList1"/>
    <w:uiPriority w:val="99"/>
    <w:rsid w:val="0097427E"/>
    <w:pPr>
      <w:numPr>
        <w:numId w:val="1"/>
      </w:numPr>
    </w:pPr>
  </w:style>
  <w:style w:type="table" w:customStyle="1" w:styleId="QCAAtablestyle1">
    <w:name w:val="QCAA table style 1"/>
    <w:basedOn w:val="TableNormal"/>
    <w:rsid w:val="0030542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355BB2"/>
    <w:pPr>
      <w:keepNext/>
    </w:pPr>
  </w:style>
  <w:style w:type="character" w:customStyle="1" w:styleId="CommentTextChar">
    <w:name w:val="Comment Text Char"/>
    <w:basedOn w:val="DefaultParagraphFont"/>
    <w:link w:val="CommentText"/>
    <w:uiPriority w:val="99"/>
    <w:qFormat/>
    <w:rsid w:val="00FC650F"/>
    <w:rPr>
      <w:rFonts w:ascii="Arial" w:hAnsi="Arial"/>
    </w:rPr>
  </w:style>
  <w:style w:type="character" w:customStyle="1" w:styleId="CommentSubjectChar">
    <w:name w:val="Comment Subject Char"/>
    <w:basedOn w:val="CommentTextChar"/>
    <w:link w:val="CommentSubject"/>
    <w:uiPriority w:val="99"/>
    <w:semiHidden/>
    <w:rsid w:val="00FC650F"/>
    <w:rPr>
      <w:rFonts w:ascii="Arial" w:hAnsi="Arial"/>
      <w:b/>
      <w:bCs/>
    </w:rPr>
  </w:style>
  <w:style w:type="character" w:customStyle="1" w:styleId="DocumentMapChar">
    <w:name w:val="Document Map Char"/>
    <w:basedOn w:val="DefaultParagraphFont"/>
    <w:link w:val="DocumentMap"/>
    <w:uiPriority w:val="99"/>
    <w:semiHidden/>
    <w:rsid w:val="00FC650F"/>
    <w:rPr>
      <w:rFonts w:ascii="Tahoma" w:hAnsi="Tahoma" w:cs="Tahoma"/>
      <w:shd w:val="clear" w:color="auto" w:fill="000080"/>
    </w:rPr>
  </w:style>
  <w:style w:type="character" w:customStyle="1" w:styleId="FooterChar">
    <w:name w:val="Footer Char"/>
    <w:basedOn w:val="DefaultParagraphFont"/>
    <w:link w:val="Footer"/>
    <w:uiPriority w:val="99"/>
    <w:rsid w:val="00355BB2"/>
    <w:rPr>
      <w:b/>
      <w:color w:val="1E1E1E"/>
      <w:sz w:val="16"/>
      <w:szCs w:val="16"/>
    </w:rPr>
  </w:style>
  <w:style w:type="character" w:customStyle="1" w:styleId="FootnoteTextChar">
    <w:name w:val="Footnote Text Char"/>
    <w:basedOn w:val="DefaultParagraphFont"/>
    <w:link w:val="FootnoteText"/>
    <w:uiPriority w:val="28"/>
    <w:rsid w:val="00355BB2"/>
    <w:rPr>
      <w:sz w:val="18"/>
    </w:rPr>
  </w:style>
  <w:style w:type="character" w:customStyle="1" w:styleId="HeaderChar">
    <w:name w:val="Header Char"/>
    <w:basedOn w:val="DefaultParagraphFont"/>
    <w:link w:val="Header"/>
    <w:uiPriority w:val="99"/>
    <w:rsid w:val="00FC650F"/>
    <w:rPr>
      <w:rFonts w:ascii="Arial" w:hAnsi="Arial"/>
    </w:rPr>
  </w:style>
  <w:style w:type="character" w:customStyle="1" w:styleId="Heading6Char">
    <w:name w:val="Heading 6 Char"/>
    <w:basedOn w:val="DefaultParagraphFont"/>
    <w:link w:val="Heading6"/>
    <w:uiPriority w:val="99"/>
    <w:semiHidden/>
    <w:rsid w:val="00FC650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FC65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FC65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FC650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355BB2"/>
    <w:pPr>
      <w:ind w:left="397"/>
    </w:pPr>
  </w:style>
  <w:style w:type="paragraph" w:customStyle="1" w:styleId="Indentbullets">
    <w:name w:val="Indent bullets"/>
    <w:basedOn w:val="Indentnumbers"/>
    <w:uiPriority w:val="7"/>
    <w:qFormat/>
    <w:rsid w:val="00355BB2"/>
    <w:pPr>
      <w:ind w:left="284"/>
    </w:pPr>
  </w:style>
  <w:style w:type="character" w:styleId="IntenseEmphasis">
    <w:name w:val="Intense Emphasis"/>
    <w:basedOn w:val="DefaultParagraphFont"/>
    <w:uiPriority w:val="99"/>
    <w:semiHidden/>
    <w:rsid w:val="00FC650F"/>
    <w:rPr>
      <w:b/>
      <w:bCs/>
      <w:i/>
      <w:iCs/>
      <w:color w:val="D52B1E" w:themeColor="accent1"/>
    </w:rPr>
  </w:style>
  <w:style w:type="paragraph" w:styleId="ListBullet4">
    <w:name w:val="List Bullet 4"/>
    <w:basedOn w:val="Normal"/>
    <w:uiPriority w:val="99"/>
    <w:semiHidden/>
    <w:rsid w:val="00FC650F"/>
    <w:pPr>
      <w:numPr>
        <w:numId w:val="7"/>
      </w:numPr>
      <w:contextualSpacing/>
    </w:pPr>
  </w:style>
  <w:style w:type="paragraph" w:styleId="ListBullet5">
    <w:name w:val="List Bullet 5"/>
    <w:basedOn w:val="Normal"/>
    <w:uiPriority w:val="99"/>
    <w:semiHidden/>
    <w:rsid w:val="00FC650F"/>
    <w:pPr>
      <w:numPr>
        <w:numId w:val="8"/>
      </w:numPr>
      <w:contextualSpacing/>
    </w:pPr>
  </w:style>
  <w:style w:type="paragraph" w:styleId="ListNumber4">
    <w:name w:val="List Number 4"/>
    <w:basedOn w:val="Normal"/>
    <w:uiPriority w:val="99"/>
    <w:semiHidden/>
    <w:rsid w:val="00FC650F"/>
    <w:pPr>
      <w:numPr>
        <w:numId w:val="9"/>
      </w:numPr>
      <w:contextualSpacing/>
    </w:pPr>
  </w:style>
  <w:style w:type="paragraph" w:styleId="ListNumber5">
    <w:name w:val="List Number 5"/>
    <w:basedOn w:val="Normal"/>
    <w:uiPriority w:val="99"/>
    <w:semiHidden/>
    <w:rsid w:val="00FC650F"/>
    <w:pPr>
      <w:numPr>
        <w:numId w:val="10"/>
      </w:numPr>
      <w:contextualSpacing/>
    </w:pPr>
  </w:style>
  <w:style w:type="paragraph" w:customStyle="1" w:styleId="Mainheading">
    <w:name w:val="Main heading"/>
    <w:basedOn w:val="Normal"/>
    <w:uiPriority w:val="99"/>
    <w:semiHidden/>
    <w:rsid w:val="00FC650F"/>
  </w:style>
  <w:style w:type="paragraph" w:styleId="NoSpacing">
    <w:name w:val="No Spacing"/>
    <w:link w:val="NoSpacingChar"/>
    <w:uiPriority w:val="99"/>
    <w:semiHidden/>
    <w:rsid w:val="00FC650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FC650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FC650F"/>
    <w:rPr>
      <w:sz w:val="22"/>
      <w:szCs w:val="24"/>
    </w:rPr>
  </w:style>
  <w:style w:type="paragraph" w:customStyle="1" w:styleId="Smallspace">
    <w:name w:val="Small space"/>
    <w:basedOn w:val="BodyText"/>
    <w:next w:val="BodyText"/>
    <w:uiPriority w:val="19"/>
    <w:qFormat/>
    <w:rsid w:val="00355BB2"/>
    <w:pPr>
      <w:spacing w:after="0"/>
    </w:pPr>
    <w:rPr>
      <w:sz w:val="2"/>
      <w:szCs w:val="2"/>
    </w:rPr>
  </w:style>
  <w:style w:type="table" w:styleId="Table3Deffects1">
    <w:name w:val="Table 3D effects 1"/>
    <w:basedOn w:val="TableNormal"/>
    <w:rsid w:val="00FC650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FC650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FC650F"/>
    <w:tblPr>
      <w:tblCellMar>
        <w:left w:w="0" w:type="dxa"/>
        <w:right w:w="0" w:type="dxa"/>
      </w:tblCellMar>
    </w:tblPr>
  </w:style>
  <w:style w:type="numbering" w:customStyle="1" w:styleId="ListGroupListNumberBullets">
    <w:name w:val="List_GroupListNumberBullets"/>
    <w:basedOn w:val="ListGroupListNumber"/>
    <w:uiPriority w:val="99"/>
    <w:rsid w:val="00355BB2"/>
    <w:pPr>
      <w:numPr>
        <w:numId w:val="23"/>
      </w:numPr>
    </w:pPr>
  </w:style>
  <w:style w:type="numbering" w:customStyle="1" w:styleId="ListGroupTableBullets">
    <w:name w:val="List_GroupTableBullets"/>
    <w:uiPriority w:val="99"/>
    <w:rsid w:val="00355BB2"/>
    <w:pPr>
      <w:numPr>
        <w:numId w:val="24"/>
      </w:numPr>
    </w:pPr>
  </w:style>
  <w:style w:type="paragraph" w:customStyle="1" w:styleId="Tablesubhead">
    <w:name w:val="Table subhead"/>
    <w:basedOn w:val="Normal"/>
    <w:uiPriority w:val="9"/>
    <w:qFormat/>
    <w:rsid w:val="00355BB2"/>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9E4E3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9E4E3E"/>
  </w:style>
  <w:style w:type="table" w:customStyle="1" w:styleId="5QCAAtablestyle">
    <w:name w:val="5_ QCAA table style"/>
    <w:basedOn w:val="TableNormal"/>
    <w:uiPriority w:val="99"/>
    <w:rsid w:val="00D670E3"/>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character" w:customStyle="1" w:styleId="Crossreference">
    <w:name w:val="Cross reference"/>
    <w:basedOn w:val="Hyperlink"/>
    <w:uiPriority w:val="22"/>
    <w:qFormat/>
    <w:rsid w:val="00355BB2"/>
    <w:rPr>
      <w:rFonts w:ascii="Arial" w:hAnsi="Arial"/>
      <w:color w:val="0000FF"/>
      <w:u w:val="none"/>
    </w:rPr>
  </w:style>
  <w:style w:type="character" w:styleId="Emphasis">
    <w:name w:val="Emphasis"/>
    <w:uiPriority w:val="1"/>
    <w:rsid w:val="00355BB2"/>
    <w:rPr>
      <w:i/>
      <w:iCs/>
    </w:rPr>
  </w:style>
  <w:style w:type="paragraph" w:customStyle="1" w:styleId="Footersubtitle">
    <w:name w:val="Footer subtitle"/>
    <w:basedOn w:val="Footer"/>
    <w:uiPriority w:val="29"/>
    <w:qFormat/>
    <w:rsid w:val="00355BB2"/>
    <w:rPr>
      <w:rFonts w:eastAsia="SimSun"/>
      <w:b w:val="0"/>
      <w:color w:val="6F7378" w:themeColor="background2" w:themeShade="80"/>
    </w:rPr>
  </w:style>
  <w:style w:type="paragraph" w:customStyle="1" w:styleId="Footnoteseparator">
    <w:name w:val="Footnote separator"/>
    <w:basedOn w:val="Normal"/>
    <w:next w:val="FootnoteText"/>
    <w:uiPriority w:val="27"/>
    <w:rsid w:val="00355BB2"/>
    <w:pPr>
      <w:pBdr>
        <w:top w:val="single" w:sz="4" w:space="1" w:color="D52B1E"/>
      </w:pBdr>
      <w:tabs>
        <w:tab w:val="right" w:leader="underscore" w:pos="8505"/>
      </w:tabs>
    </w:pPr>
    <w:rPr>
      <w:color w:val="1E1E1E"/>
      <w:sz w:val="4"/>
      <w:szCs w:val="22"/>
    </w:rPr>
  </w:style>
  <w:style w:type="character" w:styleId="Strong">
    <w:name w:val="Strong"/>
    <w:uiPriority w:val="1"/>
    <w:rsid w:val="00355BB2"/>
    <w:rPr>
      <w:b/>
      <w:bCs/>
    </w:rPr>
  </w:style>
  <w:style w:type="paragraph" w:customStyle="1" w:styleId="Tableheading">
    <w:name w:val="Table heading"/>
    <w:basedOn w:val="Normal"/>
    <w:link w:val="TableheadingChar"/>
    <w:uiPriority w:val="9"/>
    <w:qFormat/>
    <w:rsid w:val="00355BB2"/>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355BB2"/>
    <w:pPr>
      <w:spacing w:before="40" w:after="40"/>
    </w:pPr>
    <w:rPr>
      <w:sz w:val="19"/>
    </w:rPr>
  </w:style>
  <w:style w:type="character" w:customStyle="1" w:styleId="TabletextChar">
    <w:name w:val="Table text Char"/>
    <w:link w:val="Tabletext"/>
    <w:uiPriority w:val="9"/>
    <w:rsid w:val="00355BB2"/>
    <w:rPr>
      <w:sz w:val="19"/>
    </w:rPr>
  </w:style>
  <w:style w:type="numbering" w:customStyle="1" w:styleId="ListGroupTableNumberBullets">
    <w:name w:val="List_GroupTableNumberBullets"/>
    <w:uiPriority w:val="99"/>
    <w:rsid w:val="00355BB2"/>
    <w:pPr>
      <w:numPr>
        <w:numId w:val="25"/>
      </w:numPr>
    </w:pPr>
  </w:style>
  <w:style w:type="paragraph" w:styleId="Revision">
    <w:name w:val="Revision"/>
    <w:hidden/>
    <w:uiPriority w:val="99"/>
    <w:semiHidden/>
    <w:rsid w:val="0043497B"/>
    <w:pPr>
      <w:spacing w:line="240" w:lineRule="auto"/>
    </w:pPr>
  </w:style>
  <w:style w:type="character" w:customStyle="1" w:styleId="UnresolvedMention1">
    <w:name w:val="Unresolved Mention1"/>
    <w:basedOn w:val="DefaultParagraphFont"/>
    <w:uiPriority w:val="99"/>
    <w:semiHidden/>
    <w:unhideWhenUsed/>
    <w:rsid w:val="007120F4"/>
    <w:rPr>
      <w:color w:val="808080"/>
      <w:shd w:val="clear" w:color="auto" w:fill="E6E6E6"/>
    </w:rPr>
  </w:style>
  <w:style w:type="numbering" w:customStyle="1" w:styleId="ListGroupTableBullets1">
    <w:name w:val="List_GroupTableBullets1"/>
    <w:uiPriority w:val="99"/>
    <w:rsid w:val="00042087"/>
  </w:style>
  <w:style w:type="character" w:customStyle="1" w:styleId="crossreference0">
    <w:name w:val="crossreference"/>
    <w:basedOn w:val="DefaultParagraphFont"/>
    <w:uiPriority w:val="99"/>
    <w:rsid w:val="006B7BA8"/>
  </w:style>
  <w:style w:type="paragraph" w:customStyle="1" w:styleId="TableHeading0">
    <w:name w:val="Table Heading"/>
    <w:basedOn w:val="Normal"/>
    <w:uiPriority w:val="9"/>
    <w:qFormat/>
    <w:rsid w:val="004038FB"/>
    <w:pPr>
      <w:spacing w:before="40" w:after="40"/>
    </w:pPr>
    <w:rPr>
      <w:rFonts w:asciiTheme="majorHAnsi" w:hAnsiTheme="majorHAnsi"/>
      <w:b/>
      <w:sz w:val="20"/>
      <w:lang w:eastAsia="en-US"/>
      <w14:numForm w14:val="lining"/>
    </w:rPr>
  </w:style>
  <w:style w:type="paragraph" w:customStyle="1" w:styleId="TableText0">
    <w:name w:val="Table Text"/>
    <w:basedOn w:val="Normal"/>
    <w:link w:val="TableTextChar0"/>
    <w:uiPriority w:val="9"/>
    <w:qFormat/>
    <w:rsid w:val="004038FB"/>
    <w:pPr>
      <w:spacing w:before="40" w:after="40"/>
    </w:pPr>
    <w:rPr>
      <w:sz w:val="19"/>
      <w14:numForm w14:val="lining"/>
    </w:rPr>
  </w:style>
  <w:style w:type="character" w:customStyle="1" w:styleId="TableTextChar0">
    <w:name w:val="Table Text Char"/>
    <w:link w:val="TableText0"/>
    <w:uiPriority w:val="9"/>
    <w:rsid w:val="009178CA"/>
    <w:rPr>
      <w:sz w:val="19"/>
      <w14:numForm w14:val="lining"/>
    </w:rPr>
  </w:style>
  <w:style w:type="character" w:customStyle="1" w:styleId="TableheadingChar">
    <w:name w:val="Table heading Char"/>
    <w:basedOn w:val="DefaultParagraphFont"/>
    <w:link w:val="Tableheading"/>
    <w:uiPriority w:val="9"/>
    <w:rsid w:val="009178CA"/>
    <w:rPr>
      <w:rFonts w:asciiTheme="majorHAnsi" w:hAnsiTheme="majorHAnsi"/>
      <w:b/>
      <w:sz w:val="20"/>
      <w:lang w:eastAsia="en-US"/>
    </w:rPr>
  </w:style>
  <w:style w:type="character" w:customStyle="1" w:styleId="TableBulletChar">
    <w:name w:val="Table Bullet Char"/>
    <w:basedOn w:val="TabletextChar"/>
    <w:link w:val="TableBullet"/>
    <w:uiPriority w:val="15"/>
    <w:rsid w:val="009178CA"/>
    <w:rPr>
      <w:color w:val="000000" w:themeColor="text1"/>
      <w:sz w:val="19"/>
      <w:lang w:eastAsia="en-US"/>
    </w:rPr>
  </w:style>
  <w:style w:type="table" w:customStyle="1" w:styleId="QCAAtablestyle11">
    <w:name w:val="QCAA table style 11"/>
    <w:basedOn w:val="TableNormal"/>
    <w:rsid w:val="00B943B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table" w:customStyle="1" w:styleId="TextLayout1">
    <w:name w:val="Text Layout1"/>
    <w:basedOn w:val="TableNormal"/>
    <w:uiPriority w:val="99"/>
    <w:rsid w:val="00273408"/>
    <w:tblPr>
      <w:tblCellMar>
        <w:left w:w="0" w:type="dxa"/>
        <w:right w:w="0" w:type="dxa"/>
      </w:tblCellMar>
    </w:tblPr>
  </w:style>
  <w:style w:type="table" w:customStyle="1" w:styleId="QCAAtablestyle32">
    <w:name w:val="QCAA table style 32"/>
    <w:basedOn w:val="TableGrid"/>
    <w:rsid w:val="00273408"/>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57" w:type="dxa"/>
        <w:bottom w:w="57" w:type="dxa"/>
        <w:right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table" w:customStyle="1" w:styleId="QCAAtablestyle13">
    <w:name w:val="QCAA table style 13"/>
    <w:basedOn w:val="TableNormal"/>
    <w:rsid w:val="00273408"/>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table" w:customStyle="1" w:styleId="TextLayout2">
    <w:name w:val="Text Layout2"/>
    <w:basedOn w:val="TableNormal"/>
    <w:uiPriority w:val="99"/>
    <w:rsid w:val="00273408"/>
    <w:tblPr>
      <w:tblCellMar>
        <w:left w:w="0" w:type="dxa"/>
        <w:right w:w="0" w:type="dxa"/>
      </w:tblCellMar>
    </w:tblPr>
  </w:style>
  <w:style w:type="character" w:customStyle="1" w:styleId="UnresolvedMention">
    <w:name w:val="Unresolved Mention"/>
    <w:basedOn w:val="DefaultParagraphFont"/>
    <w:uiPriority w:val="99"/>
    <w:semiHidden/>
    <w:unhideWhenUsed/>
    <w:rsid w:val="00AF041C"/>
    <w:rPr>
      <w:color w:val="808080"/>
      <w:shd w:val="clear" w:color="auto" w:fill="E6E6E6"/>
    </w:rPr>
  </w:style>
  <w:style w:type="numbering" w:customStyle="1" w:styleId="NumberedList">
    <w:name w:val="NumberedList"/>
    <w:rsid w:val="00EC63B9"/>
    <w:pPr>
      <w:numPr>
        <w:numId w:val="29"/>
      </w:numPr>
    </w:pPr>
  </w:style>
  <w:style w:type="numbering" w:customStyle="1" w:styleId="ListGroupHeadings1">
    <w:name w:val="List_GroupHeadings1"/>
    <w:uiPriority w:val="99"/>
    <w:rsid w:val="00EC63B9"/>
    <w:pPr>
      <w:numPr>
        <w:numId w:val="30"/>
      </w:numPr>
    </w:pPr>
  </w:style>
  <w:style w:type="paragraph" w:customStyle="1" w:styleId="Instructiontowritersbullet">
    <w:name w:val="Instruction to writers bullet"/>
    <w:basedOn w:val="Instructiontowriters"/>
    <w:uiPriority w:val="23"/>
    <w:qFormat/>
    <w:rsid w:val="00825757"/>
    <w:pPr>
      <w:numPr>
        <w:ilvl w:val="1"/>
        <w:numId w:val="31"/>
      </w:numPr>
      <w:spacing w:before="100" w:after="100"/>
    </w:pPr>
  </w:style>
  <w:style w:type="numbering" w:customStyle="1" w:styleId="ListWriterInstructions">
    <w:name w:val="List_WriterInstructions"/>
    <w:uiPriority w:val="99"/>
    <w:rsid w:val="00825757"/>
    <w:pPr>
      <w:numPr>
        <w:numId w:val="31"/>
      </w:numPr>
    </w:pPr>
  </w:style>
  <w:style w:type="paragraph" w:customStyle="1" w:styleId="Instructiontowritersbullet2">
    <w:name w:val="Instruction to writers bullet 2"/>
    <w:basedOn w:val="Instructiontowriters"/>
    <w:uiPriority w:val="23"/>
    <w:qFormat/>
    <w:rsid w:val="00825757"/>
    <w:pPr>
      <w:framePr w:hSpace="181" w:wrap="around" w:vAnchor="page" w:hAnchor="page" w:x="1504" w:y="285"/>
      <w:numPr>
        <w:ilvl w:val="2"/>
        <w:numId w:val="31"/>
      </w:numPr>
      <w:spacing w:line="240" w:lineRule="auto"/>
      <w:suppressOverlap/>
    </w:pPr>
    <w:rPr>
      <w:rFonts w:asciiTheme="minorHAnsi" w:hAnsiTheme="minorHAnsi"/>
      <w:lang w:val="en-US"/>
    </w:rPr>
  </w:style>
  <w:style w:type="paragraph" w:customStyle="1" w:styleId="SubjectHeading">
    <w:name w:val="Subject Heading"/>
    <w:uiPriority w:val="19"/>
    <w:qFormat/>
    <w:rsid w:val="00CD2D5C"/>
    <w:pPr>
      <w:spacing w:before="20"/>
    </w:pPr>
    <w:rPr>
      <w:b/>
      <w:color w:val="000000" w:themeColor="text1"/>
      <w:sz w:val="36"/>
    </w:rPr>
  </w:style>
  <w:style w:type="table" w:customStyle="1" w:styleId="TableGrid0">
    <w:name w:val="TableGrid"/>
    <w:rsid w:val="00425207"/>
    <w:pPr>
      <w:spacing w:line="240" w:lineRule="auto"/>
    </w:pPr>
    <w:rPr>
      <w:rFonts w:asciiTheme="minorHAnsi" w:eastAsiaTheme="minorEastAsia" w:hAnsiTheme="minorHAnsi" w:cstheme="minorBidi"/>
      <w:sz w:val="22"/>
      <w:szCs w:val="22"/>
      <w:lang w:eastAsia="zh-TW"/>
    </w:rPr>
    <w:tblPr>
      <w:tblCellMar>
        <w:top w:w="0" w:type="dxa"/>
        <w:left w:w="0" w:type="dxa"/>
        <w:bottom w:w="0" w:type="dxa"/>
        <w:right w:w="0" w:type="dxa"/>
      </w:tblCellMar>
    </w:tblPr>
  </w:style>
  <w:style w:type="paragraph" w:customStyle="1" w:styleId="Document1">
    <w:name w:val="Document 1"/>
    <w:rsid w:val="002F59DF"/>
    <w:pPr>
      <w:keepNext/>
      <w:keepLines/>
      <w:tabs>
        <w:tab w:val="left" w:pos="-720"/>
      </w:tabs>
      <w:suppressAutoHyphens/>
      <w:spacing w:line="240" w:lineRule="auto"/>
    </w:pPr>
    <w:rPr>
      <w:rFonts w:ascii="CG Times" w:hAnsi="CG Times"/>
      <w:sz w:val="24"/>
      <w:szCs w:val="20"/>
      <w:lang w:val="en-US"/>
    </w:rPr>
  </w:style>
  <w:style w:type="character" w:styleId="PlaceholderText">
    <w:name w:val="Placeholder Text"/>
    <w:basedOn w:val="DefaultParagraphFont"/>
    <w:uiPriority w:val="99"/>
    <w:rsid w:val="006C6C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521">
      <w:bodyDiv w:val="1"/>
      <w:marLeft w:val="0"/>
      <w:marRight w:val="0"/>
      <w:marTop w:val="0"/>
      <w:marBottom w:val="0"/>
      <w:divBdr>
        <w:top w:val="none" w:sz="0" w:space="0" w:color="auto"/>
        <w:left w:val="none" w:sz="0" w:space="0" w:color="auto"/>
        <w:bottom w:val="none" w:sz="0" w:space="0" w:color="auto"/>
        <w:right w:val="none" w:sz="0" w:space="0" w:color="auto"/>
      </w:divBdr>
    </w:div>
    <w:div w:id="35548391">
      <w:bodyDiv w:val="1"/>
      <w:marLeft w:val="0"/>
      <w:marRight w:val="0"/>
      <w:marTop w:val="0"/>
      <w:marBottom w:val="0"/>
      <w:divBdr>
        <w:top w:val="none" w:sz="0" w:space="0" w:color="auto"/>
        <w:left w:val="none" w:sz="0" w:space="0" w:color="auto"/>
        <w:bottom w:val="none" w:sz="0" w:space="0" w:color="auto"/>
        <w:right w:val="none" w:sz="0" w:space="0" w:color="auto"/>
      </w:divBdr>
    </w:div>
    <w:div w:id="57367983">
      <w:bodyDiv w:val="1"/>
      <w:marLeft w:val="0"/>
      <w:marRight w:val="0"/>
      <w:marTop w:val="0"/>
      <w:marBottom w:val="0"/>
      <w:divBdr>
        <w:top w:val="none" w:sz="0" w:space="0" w:color="auto"/>
        <w:left w:val="none" w:sz="0" w:space="0" w:color="auto"/>
        <w:bottom w:val="none" w:sz="0" w:space="0" w:color="auto"/>
        <w:right w:val="none" w:sz="0" w:space="0" w:color="auto"/>
      </w:divBdr>
    </w:div>
    <w:div w:id="58403046">
      <w:bodyDiv w:val="1"/>
      <w:marLeft w:val="0"/>
      <w:marRight w:val="0"/>
      <w:marTop w:val="0"/>
      <w:marBottom w:val="0"/>
      <w:divBdr>
        <w:top w:val="none" w:sz="0" w:space="0" w:color="auto"/>
        <w:left w:val="none" w:sz="0" w:space="0" w:color="auto"/>
        <w:bottom w:val="none" w:sz="0" w:space="0" w:color="auto"/>
        <w:right w:val="none" w:sz="0" w:space="0" w:color="auto"/>
      </w:divBdr>
    </w:div>
    <w:div w:id="99687688">
      <w:bodyDiv w:val="1"/>
      <w:marLeft w:val="0"/>
      <w:marRight w:val="0"/>
      <w:marTop w:val="0"/>
      <w:marBottom w:val="0"/>
      <w:divBdr>
        <w:top w:val="none" w:sz="0" w:space="0" w:color="auto"/>
        <w:left w:val="none" w:sz="0" w:space="0" w:color="auto"/>
        <w:bottom w:val="none" w:sz="0" w:space="0" w:color="auto"/>
        <w:right w:val="none" w:sz="0" w:space="0" w:color="auto"/>
      </w:divBdr>
    </w:div>
    <w:div w:id="178587467">
      <w:bodyDiv w:val="1"/>
      <w:marLeft w:val="0"/>
      <w:marRight w:val="0"/>
      <w:marTop w:val="0"/>
      <w:marBottom w:val="0"/>
      <w:divBdr>
        <w:top w:val="none" w:sz="0" w:space="0" w:color="auto"/>
        <w:left w:val="none" w:sz="0" w:space="0" w:color="auto"/>
        <w:bottom w:val="none" w:sz="0" w:space="0" w:color="auto"/>
        <w:right w:val="none" w:sz="0" w:space="0" w:color="auto"/>
      </w:divBdr>
    </w:div>
    <w:div w:id="196940054">
      <w:bodyDiv w:val="1"/>
      <w:marLeft w:val="0"/>
      <w:marRight w:val="0"/>
      <w:marTop w:val="0"/>
      <w:marBottom w:val="0"/>
      <w:divBdr>
        <w:top w:val="none" w:sz="0" w:space="0" w:color="auto"/>
        <w:left w:val="none" w:sz="0" w:space="0" w:color="auto"/>
        <w:bottom w:val="none" w:sz="0" w:space="0" w:color="auto"/>
        <w:right w:val="none" w:sz="0" w:space="0" w:color="auto"/>
      </w:divBdr>
    </w:div>
    <w:div w:id="226839312">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269549808">
      <w:bodyDiv w:val="1"/>
      <w:marLeft w:val="0"/>
      <w:marRight w:val="0"/>
      <w:marTop w:val="0"/>
      <w:marBottom w:val="0"/>
      <w:divBdr>
        <w:top w:val="none" w:sz="0" w:space="0" w:color="auto"/>
        <w:left w:val="none" w:sz="0" w:space="0" w:color="auto"/>
        <w:bottom w:val="none" w:sz="0" w:space="0" w:color="auto"/>
        <w:right w:val="none" w:sz="0" w:space="0" w:color="auto"/>
      </w:divBdr>
    </w:div>
    <w:div w:id="294217477">
      <w:bodyDiv w:val="1"/>
      <w:marLeft w:val="0"/>
      <w:marRight w:val="0"/>
      <w:marTop w:val="0"/>
      <w:marBottom w:val="0"/>
      <w:divBdr>
        <w:top w:val="none" w:sz="0" w:space="0" w:color="auto"/>
        <w:left w:val="none" w:sz="0" w:space="0" w:color="auto"/>
        <w:bottom w:val="none" w:sz="0" w:space="0" w:color="auto"/>
        <w:right w:val="none" w:sz="0" w:space="0" w:color="auto"/>
      </w:divBdr>
    </w:div>
    <w:div w:id="312879215">
      <w:bodyDiv w:val="1"/>
      <w:marLeft w:val="0"/>
      <w:marRight w:val="0"/>
      <w:marTop w:val="0"/>
      <w:marBottom w:val="0"/>
      <w:divBdr>
        <w:top w:val="none" w:sz="0" w:space="0" w:color="auto"/>
        <w:left w:val="none" w:sz="0" w:space="0" w:color="auto"/>
        <w:bottom w:val="none" w:sz="0" w:space="0" w:color="auto"/>
        <w:right w:val="none" w:sz="0" w:space="0" w:color="auto"/>
      </w:divBdr>
      <w:divsChild>
        <w:div w:id="36777731">
          <w:marLeft w:val="547"/>
          <w:marRight w:val="0"/>
          <w:marTop w:val="0"/>
          <w:marBottom w:val="0"/>
          <w:divBdr>
            <w:top w:val="none" w:sz="0" w:space="0" w:color="auto"/>
            <w:left w:val="none" w:sz="0" w:space="0" w:color="auto"/>
            <w:bottom w:val="none" w:sz="0" w:space="0" w:color="auto"/>
            <w:right w:val="none" w:sz="0" w:space="0" w:color="auto"/>
          </w:divBdr>
        </w:div>
        <w:div w:id="329143652">
          <w:marLeft w:val="547"/>
          <w:marRight w:val="0"/>
          <w:marTop w:val="0"/>
          <w:marBottom w:val="0"/>
          <w:divBdr>
            <w:top w:val="none" w:sz="0" w:space="0" w:color="auto"/>
            <w:left w:val="none" w:sz="0" w:space="0" w:color="auto"/>
            <w:bottom w:val="none" w:sz="0" w:space="0" w:color="auto"/>
            <w:right w:val="none" w:sz="0" w:space="0" w:color="auto"/>
          </w:divBdr>
        </w:div>
        <w:div w:id="604001658">
          <w:marLeft w:val="547"/>
          <w:marRight w:val="0"/>
          <w:marTop w:val="0"/>
          <w:marBottom w:val="0"/>
          <w:divBdr>
            <w:top w:val="none" w:sz="0" w:space="0" w:color="auto"/>
            <w:left w:val="none" w:sz="0" w:space="0" w:color="auto"/>
            <w:bottom w:val="none" w:sz="0" w:space="0" w:color="auto"/>
            <w:right w:val="none" w:sz="0" w:space="0" w:color="auto"/>
          </w:divBdr>
        </w:div>
        <w:div w:id="701982935">
          <w:marLeft w:val="547"/>
          <w:marRight w:val="0"/>
          <w:marTop w:val="0"/>
          <w:marBottom w:val="0"/>
          <w:divBdr>
            <w:top w:val="none" w:sz="0" w:space="0" w:color="auto"/>
            <w:left w:val="none" w:sz="0" w:space="0" w:color="auto"/>
            <w:bottom w:val="none" w:sz="0" w:space="0" w:color="auto"/>
            <w:right w:val="none" w:sz="0" w:space="0" w:color="auto"/>
          </w:divBdr>
        </w:div>
        <w:div w:id="1100953248">
          <w:marLeft w:val="547"/>
          <w:marRight w:val="0"/>
          <w:marTop w:val="0"/>
          <w:marBottom w:val="0"/>
          <w:divBdr>
            <w:top w:val="none" w:sz="0" w:space="0" w:color="auto"/>
            <w:left w:val="none" w:sz="0" w:space="0" w:color="auto"/>
            <w:bottom w:val="none" w:sz="0" w:space="0" w:color="auto"/>
            <w:right w:val="none" w:sz="0" w:space="0" w:color="auto"/>
          </w:divBdr>
        </w:div>
        <w:div w:id="1425418671">
          <w:marLeft w:val="547"/>
          <w:marRight w:val="0"/>
          <w:marTop w:val="0"/>
          <w:marBottom w:val="0"/>
          <w:divBdr>
            <w:top w:val="none" w:sz="0" w:space="0" w:color="auto"/>
            <w:left w:val="none" w:sz="0" w:space="0" w:color="auto"/>
            <w:bottom w:val="none" w:sz="0" w:space="0" w:color="auto"/>
            <w:right w:val="none" w:sz="0" w:space="0" w:color="auto"/>
          </w:divBdr>
        </w:div>
        <w:div w:id="1580749743">
          <w:marLeft w:val="547"/>
          <w:marRight w:val="0"/>
          <w:marTop w:val="0"/>
          <w:marBottom w:val="0"/>
          <w:divBdr>
            <w:top w:val="none" w:sz="0" w:space="0" w:color="auto"/>
            <w:left w:val="none" w:sz="0" w:space="0" w:color="auto"/>
            <w:bottom w:val="none" w:sz="0" w:space="0" w:color="auto"/>
            <w:right w:val="none" w:sz="0" w:space="0" w:color="auto"/>
          </w:divBdr>
        </w:div>
        <w:div w:id="1582636663">
          <w:marLeft w:val="547"/>
          <w:marRight w:val="0"/>
          <w:marTop w:val="0"/>
          <w:marBottom w:val="0"/>
          <w:divBdr>
            <w:top w:val="none" w:sz="0" w:space="0" w:color="auto"/>
            <w:left w:val="none" w:sz="0" w:space="0" w:color="auto"/>
            <w:bottom w:val="none" w:sz="0" w:space="0" w:color="auto"/>
            <w:right w:val="none" w:sz="0" w:space="0" w:color="auto"/>
          </w:divBdr>
        </w:div>
        <w:div w:id="1605653285">
          <w:marLeft w:val="547"/>
          <w:marRight w:val="0"/>
          <w:marTop w:val="0"/>
          <w:marBottom w:val="0"/>
          <w:divBdr>
            <w:top w:val="none" w:sz="0" w:space="0" w:color="auto"/>
            <w:left w:val="none" w:sz="0" w:space="0" w:color="auto"/>
            <w:bottom w:val="none" w:sz="0" w:space="0" w:color="auto"/>
            <w:right w:val="none" w:sz="0" w:space="0" w:color="auto"/>
          </w:divBdr>
        </w:div>
        <w:div w:id="1616718863">
          <w:marLeft w:val="547"/>
          <w:marRight w:val="0"/>
          <w:marTop w:val="0"/>
          <w:marBottom w:val="0"/>
          <w:divBdr>
            <w:top w:val="none" w:sz="0" w:space="0" w:color="auto"/>
            <w:left w:val="none" w:sz="0" w:space="0" w:color="auto"/>
            <w:bottom w:val="none" w:sz="0" w:space="0" w:color="auto"/>
            <w:right w:val="none" w:sz="0" w:space="0" w:color="auto"/>
          </w:divBdr>
        </w:div>
        <w:div w:id="1647852143">
          <w:marLeft w:val="547"/>
          <w:marRight w:val="0"/>
          <w:marTop w:val="0"/>
          <w:marBottom w:val="0"/>
          <w:divBdr>
            <w:top w:val="none" w:sz="0" w:space="0" w:color="auto"/>
            <w:left w:val="none" w:sz="0" w:space="0" w:color="auto"/>
            <w:bottom w:val="none" w:sz="0" w:space="0" w:color="auto"/>
            <w:right w:val="none" w:sz="0" w:space="0" w:color="auto"/>
          </w:divBdr>
        </w:div>
        <w:div w:id="1810318753">
          <w:marLeft w:val="547"/>
          <w:marRight w:val="0"/>
          <w:marTop w:val="0"/>
          <w:marBottom w:val="0"/>
          <w:divBdr>
            <w:top w:val="none" w:sz="0" w:space="0" w:color="auto"/>
            <w:left w:val="none" w:sz="0" w:space="0" w:color="auto"/>
            <w:bottom w:val="none" w:sz="0" w:space="0" w:color="auto"/>
            <w:right w:val="none" w:sz="0" w:space="0" w:color="auto"/>
          </w:divBdr>
        </w:div>
      </w:divsChild>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29673579">
      <w:bodyDiv w:val="1"/>
      <w:marLeft w:val="0"/>
      <w:marRight w:val="0"/>
      <w:marTop w:val="0"/>
      <w:marBottom w:val="0"/>
      <w:divBdr>
        <w:top w:val="none" w:sz="0" w:space="0" w:color="auto"/>
        <w:left w:val="none" w:sz="0" w:space="0" w:color="auto"/>
        <w:bottom w:val="none" w:sz="0" w:space="0" w:color="auto"/>
        <w:right w:val="none" w:sz="0" w:space="0" w:color="auto"/>
      </w:divBdr>
    </w:div>
    <w:div w:id="331185323">
      <w:bodyDiv w:val="1"/>
      <w:marLeft w:val="0"/>
      <w:marRight w:val="0"/>
      <w:marTop w:val="0"/>
      <w:marBottom w:val="0"/>
      <w:divBdr>
        <w:top w:val="none" w:sz="0" w:space="0" w:color="auto"/>
        <w:left w:val="none" w:sz="0" w:space="0" w:color="auto"/>
        <w:bottom w:val="none" w:sz="0" w:space="0" w:color="auto"/>
        <w:right w:val="none" w:sz="0" w:space="0" w:color="auto"/>
      </w:divBdr>
    </w:div>
    <w:div w:id="340357471">
      <w:bodyDiv w:val="1"/>
      <w:marLeft w:val="0"/>
      <w:marRight w:val="0"/>
      <w:marTop w:val="0"/>
      <w:marBottom w:val="0"/>
      <w:divBdr>
        <w:top w:val="none" w:sz="0" w:space="0" w:color="auto"/>
        <w:left w:val="none" w:sz="0" w:space="0" w:color="auto"/>
        <w:bottom w:val="none" w:sz="0" w:space="0" w:color="auto"/>
        <w:right w:val="none" w:sz="0" w:space="0" w:color="auto"/>
      </w:divBdr>
    </w:div>
    <w:div w:id="353306782">
      <w:bodyDiv w:val="1"/>
      <w:marLeft w:val="0"/>
      <w:marRight w:val="0"/>
      <w:marTop w:val="0"/>
      <w:marBottom w:val="0"/>
      <w:divBdr>
        <w:top w:val="none" w:sz="0" w:space="0" w:color="auto"/>
        <w:left w:val="none" w:sz="0" w:space="0" w:color="auto"/>
        <w:bottom w:val="none" w:sz="0" w:space="0" w:color="auto"/>
        <w:right w:val="none" w:sz="0" w:space="0" w:color="auto"/>
      </w:divBdr>
    </w:div>
    <w:div w:id="413670431">
      <w:bodyDiv w:val="1"/>
      <w:marLeft w:val="0"/>
      <w:marRight w:val="0"/>
      <w:marTop w:val="0"/>
      <w:marBottom w:val="0"/>
      <w:divBdr>
        <w:top w:val="none" w:sz="0" w:space="0" w:color="auto"/>
        <w:left w:val="none" w:sz="0" w:space="0" w:color="auto"/>
        <w:bottom w:val="none" w:sz="0" w:space="0" w:color="auto"/>
        <w:right w:val="none" w:sz="0" w:space="0" w:color="auto"/>
      </w:divBdr>
      <w:divsChild>
        <w:div w:id="77673617">
          <w:marLeft w:val="547"/>
          <w:marRight w:val="0"/>
          <w:marTop w:val="0"/>
          <w:marBottom w:val="0"/>
          <w:divBdr>
            <w:top w:val="none" w:sz="0" w:space="0" w:color="auto"/>
            <w:left w:val="none" w:sz="0" w:space="0" w:color="auto"/>
            <w:bottom w:val="none" w:sz="0" w:space="0" w:color="auto"/>
            <w:right w:val="none" w:sz="0" w:space="0" w:color="auto"/>
          </w:divBdr>
        </w:div>
        <w:div w:id="1223834365">
          <w:marLeft w:val="547"/>
          <w:marRight w:val="0"/>
          <w:marTop w:val="0"/>
          <w:marBottom w:val="0"/>
          <w:divBdr>
            <w:top w:val="none" w:sz="0" w:space="0" w:color="auto"/>
            <w:left w:val="none" w:sz="0" w:space="0" w:color="auto"/>
            <w:bottom w:val="none" w:sz="0" w:space="0" w:color="auto"/>
            <w:right w:val="none" w:sz="0" w:space="0" w:color="auto"/>
          </w:divBdr>
        </w:div>
        <w:div w:id="1231113190">
          <w:marLeft w:val="547"/>
          <w:marRight w:val="0"/>
          <w:marTop w:val="0"/>
          <w:marBottom w:val="0"/>
          <w:divBdr>
            <w:top w:val="none" w:sz="0" w:space="0" w:color="auto"/>
            <w:left w:val="none" w:sz="0" w:space="0" w:color="auto"/>
            <w:bottom w:val="none" w:sz="0" w:space="0" w:color="auto"/>
            <w:right w:val="none" w:sz="0" w:space="0" w:color="auto"/>
          </w:divBdr>
        </w:div>
        <w:div w:id="2001228003">
          <w:marLeft w:val="547"/>
          <w:marRight w:val="0"/>
          <w:marTop w:val="0"/>
          <w:marBottom w:val="0"/>
          <w:divBdr>
            <w:top w:val="none" w:sz="0" w:space="0" w:color="auto"/>
            <w:left w:val="none" w:sz="0" w:space="0" w:color="auto"/>
            <w:bottom w:val="none" w:sz="0" w:space="0" w:color="auto"/>
            <w:right w:val="none" w:sz="0" w:space="0" w:color="auto"/>
          </w:divBdr>
        </w:div>
        <w:div w:id="2100373278">
          <w:marLeft w:val="547"/>
          <w:marRight w:val="0"/>
          <w:marTop w:val="0"/>
          <w:marBottom w:val="0"/>
          <w:divBdr>
            <w:top w:val="none" w:sz="0" w:space="0" w:color="auto"/>
            <w:left w:val="none" w:sz="0" w:space="0" w:color="auto"/>
            <w:bottom w:val="none" w:sz="0" w:space="0" w:color="auto"/>
            <w:right w:val="none" w:sz="0" w:space="0" w:color="auto"/>
          </w:divBdr>
        </w:div>
      </w:divsChild>
    </w:div>
    <w:div w:id="520972281">
      <w:bodyDiv w:val="1"/>
      <w:marLeft w:val="0"/>
      <w:marRight w:val="0"/>
      <w:marTop w:val="0"/>
      <w:marBottom w:val="0"/>
      <w:divBdr>
        <w:top w:val="none" w:sz="0" w:space="0" w:color="auto"/>
        <w:left w:val="none" w:sz="0" w:space="0" w:color="auto"/>
        <w:bottom w:val="none" w:sz="0" w:space="0" w:color="auto"/>
        <w:right w:val="none" w:sz="0" w:space="0" w:color="auto"/>
      </w:divBdr>
    </w:div>
    <w:div w:id="539517634">
      <w:bodyDiv w:val="1"/>
      <w:marLeft w:val="0"/>
      <w:marRight w:val="0"/>
      <w:marTop w:val="0"/>
      <w:marBottom w:val="0"/>
      <w:divBdr>
        <w:top w:val="none" w:sz="0" w:space="0" w:color="auto"/>
        <w:left w:val="none" w:sz="0" w:space="0" w:color="auto"/>
        <w:bottom w:val="none" w:sz="0" w:space="0" w:color="auto"/>
        <w:right w:val="none" w:sz="0" w:space="0" w:color="auto"/>
      </w:divBdr>
    </w:div>
    <w:div w:id="574554449">
      <w:bodyDiv w:val="1"/>
      <w:marLeft w:val="0"/>
      <w:marRight w:val="0"/>
      <w:marTop w:val="0"/>
      <w:marBottom w:val="0"/>
      <w:divBdr>
        <w:top w:val="none" w:sz="0" w:space="0" w:color="auto"/>
        <w:left w:val="none" w:sz="0" w:space="0" w:color="auto"/>
        <w:bottom w:val="none" w:sz="0" w:space="0" w:color="auto"/>
        <w:right w:val="none" w:sz="0" w:space="0" w:color="auto"/>
      </w:divBdr>
    </w:div>
    <w:div w:id="641816089">
      <w:bodyDiv w:val="1"/>
      <w:marLeft w:val="0"/>
      <w:marRight w:val="0"/>
      <w:marTop w:val="0"/>
      <w:marBottom w:val="0"/>
      <w:divBdr>
        <w:top w:val="none" w:sz="0" w:space="0" w:color="auto"/>
        <w:left w:val="none" w:sz="0" w:space="0" w:color="auto"/>
        <w:bottom w:val="none" w:sz="0" w:space="0" w:color="auto"/>
        <w:right w:val="none" w:sz="0" w:space="0" w:color="auto"/>
      </w:divBdr>
    </w:div>
    <w:div w:id="646783408">
      <w:bodyDiv w:val="1"/>
      <w:marLeft w:val="0"/>
      <w:marRight w:val="0"/>
      <w:marTop w:val="0"/>
      <w:marBottom w:val="0"/>
      <w:divBdr>
        <w:top w:val="none" w:sz="0" w:space="0" w:color="auto"/>
        <w:left w:val="none" w:sz="0" w:space="0" w:color="auto"/>
        <w:bottom w:val="none" w:sz="0" w:space="0" w:color="auto"/>
        <w:right w:val="none" w:sz="0" w:space="0" w:color="auto"/>
      </w:divBdr>
    </w:div>
    <w:div w:id="688338627">
      <w:bodyDiv w:val="1"/>
      <w:marLeft w:val="0"/>
      <w:marRight w:val="0"/>
      <w:marTop w:val="0"/>
      <w:marBottom w:val="0"/>
      <w:divBdr>
        <w:top w:val="none" w:sz="0" w:space="0" w:color="auto"/>
        <w:left w:val="none" w:sz="0" w:space="0" w:color="auto"/>
        <w:bottom w:val="none" w:sz="0" w:space="0" w:color="auto"/>
        <w:right w:val="none" w:sz="0" w:space="0" w:color="auto"/>
      </w:divBdr>
    </w:div>
    <w:div w:id="728190972">
      <w:bodyDiv w:val="1"/>
      <w:marLeft w:val="0"/>
      <w:marRight w:val="0"/>
      <w:marTop w:val="0"/>
      <w:marBottom w:val="0"/>
      <w:divBdr>
        <w:top w:val="none" w:sz="0" w:space="0" w:color="auto"/>
        <w:left w:val="none" w:sz="0" w:space="0" w:color="auto"/>
        <w:bottom w:val="none" w:sz="0" w:space="0" w:color="auto"/>
        <w:right w:val="none" w:sz="0" w:space="0" w:color="auto"/>
      </w:divBdr>
    </w:div>
    <w:div w:id="8899260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984354779">
      <w:bodyDiv w:val="1"/>
      <w:marLeft w:val="0"/>
      <w:marRight w:val="0"/>
      <w:marTop w:val="0"/>
      <w:marBottom w:val="0"/>
      <w:divBdr>
        <w:top w:val="none" w:sz="0" w:space="0" w:color="auto"/>
        <w:left w:val="none" w:sz="0" w:space="0" w:color="auto"/>
        <w:bottom w:val="none" w:sz="0" w:space="0" w:color="auto"/>
        <w:right w:val="none" w:sz="0" w:space="0" w:color="auto"/>
      </w:divBdr>
    </w:div>
    <w:div w:id="986742200">
      <w:bodyDiv w:val="1"/>
      <w:marLeft w:val="0"/>
      <w:marRight w:val="0"/>
      <w:marTop w:val="0"/>
      <w:marBottom w:val="0"/>
      <w:divBdr>
        <w:top w:val="none" w:sz="0" w:space="0" w:color="auto"/>
        <w:left w:val="none" w:sz="0" w:space="0" w:color="auto"/>
        <w:bottom w:val="none" w:sz="0" w:space="0" w:color="auto"/>
        <w:right w:val="none" w:sz="0" w:space="0" w:color="auto"/>
      </w:divBdr>
    </w:div>
    <w:div w:id="1015418980">
      <w:bodyDiv w:val="1"/>
      <w:marLeft w:val="0"/>
      <w:marRight w:val="0"/>
      <w:marTop w:val="0"/>
      <w:marBottom w:val="0"/>
      <w:divBdr>
        <w:top w:val="none" w:sz="0" w:space="0" w:color="auto"/>
        <w:left w:val="none" w:sz="0" w:space="0" w:color="auto"/>
        <w:bottom w:val="none" w:sz="0" w:space="0" w:color="auto"/>
        <w:right w:val="none" w:sz="0" w:space="0" w:color="auto"/>
      </w:divBdr>
    </w:div>
    <w:div w:id="1017123216">
      <w:bodyDiv w:val="1"/>
      <w:marLeft w:val="0"/>
      <w:marRight w:val="0"/>
      <w:marTop w:val="0"/>
      <w:marBottom w:val="0"/>
      <w:divBdr>
        <w:top w:val="none" w:sz="0" w:space="0" w:color="auto"/>
        <w:left w:val="none" w:sz="0" w:space="0" w:color="auto"/>
        <w:bottom w:val="none" w:sz="0" w:space="0" w:color="auto"/>
        <w:right w:val="none" w:sz="0" w:space="0" w:color="auto"/>
      </w:divBdr>
    </w:div>
    <w:div w:id="1040546562">
      <w:bodyDiv w:val="1"/>
      <w:marLeft w:val="0"/>
      <w:marRight w:val="0"/>
      <w:marTop w:val="0"/>
      <w:marBottom w:val="0"/>
      <w:divBdr>
        <w:top w:val="none" w:sz="0" w:space="0" w:color="auto"/>
        <w:left w:val="none" w:sz="0" w:space="0" w:color="auto"/>
        <w:bottom w:val="none" w:sz="0" w:space="0" w:color="auto"/>
        <w:right w:val="none" w:sz="0" w:space="0" w:color="auto"/>
      </w:divBdr>
    </w:div>
    <w:div w:id="1058741551">
      <w:bodyDiv w:val="1"/>
      <w:marLeft w:val="0"/>
      <w:marRight w:val="0"/>
      <w:marTop w:val="0"/>
      <w:marBottom w:val="0"/>
      <w:divBdr>
        <w:top w:val="none" w:sz="0" w:space="0" w:color="auto"/>
        <w:left w:val="none" w:sz="0" w:space="0" w:color="auto"/>
        <w:bottom w:val="none" w:sz="0" w:space="0" w:color="auto"/>
        <w:right w:val="none" w:sz="0" w:space="0" w:color="auto"/>
      </w:divBdr>
    </w:div>
    <w:div w:id="1113865255">
      <w:bodyDiv w:val="1"/>
      <w:marLeft w:val="0"/>
      <w:marRight w:val="0"/>
      <w:marTop w:val="0"/>
      <w:marBottom w:val="0"/>
      <w:divBdr>
        <w:top w:val="none" w:sz="0" w:space="0" w:color="auto"/>
        <w:left w:val="none" w:sz="0" w:space="0" w:color="auto"/>
        <w:bottom w:val="none" w:sz="0" w:space="0" w:color="auto"/>
        <w:right w:val="none" w:sz="0" w:space="0" w:color="auto"/>
      </w:divBdr>
    </w:div>
    <w:div w:id="1194881181">
      <w:bodyDiv w:val="1"/>
      <w:marLeft w:val="0"/>
      <w:marRight w:val="0"/>
      <w:marTop w:val="0"/>
      <w:marBottom w:val="0"/>
      <w:divBdr>
        <w:top w:val="none" w:sz="0" w:space="0" w:color="auto"/>
        <w:left w:val="none" w:sz="0" w:space="0" w:color="auto"/>
        <w:bottom w:val="none" w:sz="0" w:space="0" w:color="auto"/>
        <w:right w:val="none" w:sz="0" w:space="0" w:color="auto"/>
      </w:divBdr>
    </w:div>
    <w:div w:id="1217859397">
      <w:bodyDiv w:val="1"/>
      <w:marLeft w:val="0"/>
      <w:marRight w:val="0"/>
      <w:marTop w:val="0"/>
      <w:marBottom w:val="0"/>
      <w:divBdr>
        <w:top w:val="none" w:sz="0" w:space="0" w:color="auto"/>
        <w:left w:val="none" w:sz="0" w:space="0" w:color="auto"/>
        <w:bottom w:val="none" w:sz="0" w:space="0" w:color="auto"/>
        <w:right w:val="none" w:sz="0" w:space="0" w:color="auto"/>
      </w:divBdr>
    </w:div>
    <w:div w:id="1225724360">
      <w:bodyDiv w:val="1"/>
      <w:marLeft w:val="0"/>
      <w:marRight w:val="0"/>
      <w:marTop w:val="0"/>
      <w:marBottom w:val="0"/>
      <w:divBdr>
        <w:top w:val="none" w:sz="0" w:space="0" w:color="auto"/>
        <w:left w:val="none" w:sz="0" w:space="0" w:color="auto"/>
        <w:bottom w:val="none" w:sz="0" w:space="0" w:color="auto"/>
        <w:right w:val="none" w:sz="0" w:space="0" w:color="auto"/>
      </w:divBdr>
    </w:div>
    <w:div w:id="1248658162">
      <w:bodyDiv w:val="1"/>
      <w:marLeft w:val="0"/>
      <w:marRight w:val="0"/>
      <w:marTop w:val="0"/>
      <w:marBottom w:val="0"/>
      <w:divBdr>
        <w:top w:val="none" w:sz="0" w:space="0" w:color="auto"/>
        <w:left w:val="none" w:sz="0" w:space="0" w:color="auto"/>
        <w:bottom w:val="none" w:sz="0" w:space="0" w:color="auto"/>
        <w:right w:val="none" w:sz="0" w:space="0" w:color="auto"/>
      </w:divBdr>
    </w:div>
    <w:div w:id="1271813274">
      <w:bodyDiv w:val="1"/>
      <w:marLeft w:val="0"/>
      <w:marRight w:val="0"/>
      <w:marTop w:val="0"/>
      <w:marBottom w:val="0"/>
      <w:divBdr>
        <w:top w:val="none" w:sz="0" w:space="0" w:color="auto"/>
        <w:left w:val="none" w:sz="0" w:space="0" w:color="auto"/>
        <w:bottom w:val="none" w:sz="0" w:space="0" w:color="auto"/>
        <w:right w:val="none" w:sz="0" w:space="0" w:color="auto"/>
      </w:divBdr>
    </w:div>
    <w:div w:id="1390420823">
      <w:bodyDiv w:val="1"/>
      <w:marLeft w:val="0"/>
      <w:marRight w:val="0"/>
      <w:marTop w:val="0"/>
      <w:marBottom w:val="0"/>
      <w:divBdr>
        <w:top w:val="none" w:sz="0" w:space="0" w:color="auto"/>
        <w:left w:val="none" w:sz="0" w:space="0" w:color="auto"/>
        <w:bottom w:val="none" w:sz="0" w:space="0" w:color="auto"/>
        <w:right w:val="none" w:sz="0" w:space="0" w:color="auto"/>
      </w:divBdr>
    </w:div>
    <w:div w:id="1455170086">
      <w:bodyDiv w:val="1"/>
      <w:marLeft w:val="0"/>
      <w:marRight w:val="0"/>
      <w:marTop w:val="0"/>
      <w:marBottom w:val="0"/>
      <w:divBdr>
        <w:top w:val="none" w:sz="0" w:space="0" w:color="auto"/>
        <w:left w:val="none" w:sz="0" w:space="0" w:color="auto"/>
        <w:bottom w:val="none" w:sz="0" w:space="0" w:color="auto"/>
        <w:right w:val="none" w:sz="0" w:space="0" w:color="auto"/>
      </w:divBdr>
    </w:div>
    <w:div w:id="1460999484">
      <w:bodyDiv w:val="1"/>
      <w:marLeft w:val="0"/>
      <w:marRight w:val="0"/>
      <w:marTop w:val="0"/>
      <w:marBottom w:val="0"/>
      <w:divBdr>
        <w:top w:val="none" w:sz="0" w:space="0" w:color="auto"/>
        <w:left w:val="none" w:sz="0" w:space="0" w:color="auto"/>
        <w:bottom w:val="none" w:sz="0" w:space="0" w:color="auto"/>
        <w:right w:val="none" w:sz="0" w:space="0" w:color="auto"/>
      </w:divBdr>
      <w:divsChild>
        <w:div w:id="1011300962">
          <w:marLeft w:val="547"/>
          <w:marRight w:val="0"/>
          <w:marTop w:val="0"/>
          <w:marBottom w:val="0"/>
          <w:divBdr>
            <w:top w:val="none" w:sz="0" w:space="0" w:color="auto"/>
            <w:left w:val="none" w:sz="0" w:space="0" w:color="auto"/>
            <w:bottom w:val="none" w:sz="0" w:space="0" w:color="auto"/>
            <w:right w:val="none" w:sz="0" w:space="0" w:color="auto"/>
          </w:divBdr>
        </w:div>
      </w:divsChild>
    </w:div>
    <w:div w:id="1546793079">
      <w:bodyDiv w:val="1"/>
      <w:marLeft w:val="0"/>
      <w:marRight w:val="0"/>
      <w:marTop w:val="0"/>
      <w:marBottom w:val="0"/>
      <w:divBdr>
        <w:top w:val="none" w:sz="0" w:space="0" w:color="auto"/>
        <w:left w:val="none" w:sz="0" w:space="0" w:color="auto"/>
        <w:bottom w:val="none" w:sz="0" w:space="0" w:color="auto"/>
        <w:right w:val="none" w:sz="0" w:space="0" w:color="auto"/>
      </w:divBdr>
    </w:div>
    <w:div w:id="157551080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18491399">
      <w:bodyDiv w:val="1"/>
      <w:marLeft w:val="0"/>
      <w:marRight w:val="0"/>
      <w:marTop w:val="0"/>
      <w:marBottom w:val="0"/>
      <w:divBdr>
        <w:top w:val="none" w:sz="0" w:space="0" w:color="auto"/>
        <w:left w:val="none" w:sz="0" w:space="0" w:color="auto"/>
        <w:bottom w:val="none" w:sz="0" w:space="0" w:color="auto"/>
        <w:right w:val="none" w:sz="0" w:space="0" w:color="auto"/>
      </w:divBdr>
    </w:div>
    <w:div w:id="1728646688">
      <w:bodyDiv w:val="1"/>
      <w:marLeft w:val="0"/>
      <w:marRight w:val="0"/>
      <w:marTop w:val="0"/>
      <w:marBottom w:val="0"/>
      <w:divBdr>
        <w:top w:val="none" w:sz="0" w:space="0" w:color="auto"/>
        <w:left w:val="none" w:sz="0" w:space="0" w:color="auto"/>
        <w:bottom w:val="none" w:sz="0" w:space="0" w:color="auto"/>
        <w:right w:val="none" w:sz="0" w:space="0" w:color="auto"/>
      </w:divBdr>
    </w:div>
    <w:div w:id="1776633901">
      <w:bodyDiv w:val="1"/>
      <w:marLeft w:val="0"/>
      <w:marRight w:val="0"/>
      <w:marTop w:val="0"/>
      <w:marBottom w:val="0"/>
      <w:divBdr>
        <w:top w:val="none" w:sz="0" w:space="0" w:color="auto"/>
        <w:left w:val="none" w:sz="0" w:space="0" w:color="auto"/>
        <w:bottom w:val="none" w:sz="0" w:space="0" w:color="auto"/>
        <w:right w:val="none" w:sz="0" w:space="0" w:color="auto"/>
      </w:divBdr>
    </w:div>
    <w:div w:id="1792237428">
      <w:bodyDiv w:val="1"/>
      <w:marLeft w:val="0"/>
      <w:marRight w:val="0"/>
      <w:marTop w:val="0"/>
      <w:marBottom w:val="0"/>
      <w:divBdr>
        <w:top w:val="none" w:sz="0" w:space="0" w:color="auto"/>
        <w:left w:val="none" w:sz="0" w:space="0" w:color="auto"/>
        <w:bottom w:val="none" w:sz="0" w:space="0" w:color="auto"/>
        <w:right w:val="none" w:sz="0" w:space="0" w:color="auto"/>
      </w:divBdr>
    </w:div>
    <w:div w:id="1837381379">
      <w:bodyDiv w:val="1"/>
      <w:marLeft w:val="0"/>
      <w:marRight w:val="0"/>
      <w:marTop w:val="0"/>
      <w:marBottom w:val="0"/>
      <w:divBdr>
        <w:top w:val="none" w:sz="0" w:space="0" w:color="auto"/>
        <w:left w:val="none" w:sz="0" w:space="0" w:color="auto"/>
        <w:bottom w:val="none" w:sz="0" w:space="0" w:color="auto"/>
        <w:right w:val="none" w:sz="0" w:space="0" w:color="auto"/>
      </w:divBdr>
      <w:divsChild>
        <w:div w:id="1536229529">
          <w:marLeft w:val="547"/>
          <w:marRight w:val="0"/>
          <w:marTop w:val="0"/>
          <w:marBottom w:val="0"/>
          <w:divBdr>
            <w:top w:val="none" w:sz="0" w:space="0" w:color="auto"/>
            <w:left w:val="none" w:sz="0" w:space="0" w:color="auto"/>
            <w:bottom w:val="none" w:sz="0" w:space="0" w:color="auto"/>
            <w:right w:val="none" w:sz="0" w:space="0" w:color="auto"/>
          </w:divBdr>
        </w:div>
        <w:div w:id="1793596047">
          <w:marLeft w:val="547"/>
          <w:marRight w:val="0"/>
          <w:marTop w:val="0"/>
          <w:marBottom w:val="0"/>
          <w:divBdr>
            <w:top w:val="none" w:sz="0" w:space="0" w:color="auto"/>
            <w:left w:val="none" w:sz="0" w:space="0" w:color="auto"/>
            <w:bottom w:val="none" w:sz="0" w:space="0" w:color="auto"/>
            <w:right w:val="none" w:sz="0" w:space="0" w:color="auto"/>
          </w:divBdr>
        </w:div>
        <w:div w:id="1897547941">
          <w:marLeft w:val="547"/>
          <w:marRight w:val="0"/>
          <w:marTop w:val="0"/>
          <w:marBottom w:val="0"/>
          <w:divBdr>
            <w:top w:val="none" w:sz="0" w:space="0" w:color="auto"/>
            <w:left w:val="none" w:sz="0" w:space="0" w:color="auto"/>
            <w:bottom w:val="none" w:sz="0" w:space="0" w:color="auto"/>
            <w:right w:val="none" w:sz="0" w:space="0" w:color="auto"/>
          </w:divBdr>
        </w:div>
      </w:divsChild>
    </w:div>
    <w:div w:id="1900634268">
      <w:bodyDiv w:val="1"/>
      <w:marLeft w:val="0"/>
      <w:marRight w:val="0"/>
      <w:marTop w:val="0"/>
      <w:marBottom w:val="0"/>
      <w:divBdr>
        <w:top w:val="none" w:sz="0" w:space="0" w:color="auto"/>
        <w:left w:val="none" w:sz="0" w:space="0" w:color="auto"/>
        <w:bottom w:val="none" w:sz="0" w:space="0" w:color="auto"/>
        <w:right w:val="none" w:sz="0" w:space="0" w:color="auto"/>
      </w:divBdr>
    </w:div>
    <w:div w:id="1940525101">
      <w:bodyDiv w:val="1"/>
      <w:marLeft w:val="0"/>
      <w:marRight w:val="0"/>
      <w:marTop w:val="0"/>
      <w:marBottom w:val="0"/>
      <w:divBdr>
        <w:top w:val="none" w:sz="0" w:space="0" w:color="auto"/>
        <w:left w:val="none" w:sz="0" w:space="0" w:color="auto"/>
        <w:bottom w:val="none" w:sz="0" w:space="0" w:color="auto"/>
        <w:right w:val="none" w:sz="0" w:space="0" w:color="auto"/>
      </w:divBdr>
    </w:div>
    <w:div w:id="1950620322">
      <w:bodyDiv w:val="1"/>
      <w:marLeft w:val="0"/>
      <w:marRight w:val="0"/>
      <w:marTop w:val="0"/>
      <w:marBottom w:val="0"/>
      <w:divBdr>
        <w:top w:val="none" w:sz="0" w:space="0" w:color="auto"/>
        <w:left w:val="none" w:sz="0" w:space="0" w:color="auto"/>
        <w:bottom w:val="none" w:sz="0" w:space="0" w:color="auto"/>
        <w:right w:val="none" w:sz="0" w:space="0" w:color="auto"/>
      </w:divBdr>
    </w:div>
    <w:div w:id="1994286235">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04700486">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53996004">
      <w:bodyDiv w:val="1"/>
      <w:marLeft w:val="0"/>
      <w:marRight w:val="0"/>
      <w:marTop w:val="0"/>
      <w:marBottom w:val="0"/>
      <w:divBdr>
        <w:top w:val="none" w:sz="0" w:space="0" w:color="auto"/>
        <w:left w:val="none" w:sz="0" w:space="0" w:color="auto"/>
        <w:bottom w:val="none" w:sz="0" w:space="0" w:color="auto"/>
        <w:right w:val="none" w:sz="0" w:space="0" w:color="auto"/>
      </w:divBdr>
    </w:div>
    <w:div w:id="21047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header" Target="header6.xml"/><Relationship Id="rId39" Type="http://schemas.openxmlformats.org/officeDocument/2006/relationships/header" Target="header19.xml"/><Relationship Id="rId21" Type="http://schemas.openxmlformats.org/officeDocument/2006/relationships/footer" Target="footer3.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image" Target="media/image4.png"/><Relationship Id="rId50" Type="http://schemas.openxmlformats.org/officeDocument/2006/relationships/header" Target="header26.xm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qcaa.qld.edu.au/senior/sep-calendar" TargetMode="External"/><Relationship Id="rId20" Type="http://schemas.openxmlformats.org/officeDocument/2006/relationships/footer" Target="footer2.xml"/><Relationship Id="rId29" Type="http://schemas.openxmlformats.org/officeDocument/2006/relationships/header" Target="header9.xml"/><Relationship Id="rId41" Type="http://schemas.openxmlformats.org/officeDocument/2006/relationships/header" Target="header21.xm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image" Target="media/image2.jpg"/><Relationship Id="rId53" Type="http://schemas.openxmlformats.org/officeDocument/2006/relationships/header" Target="header27.xml"/><Relationship Id="rId5" Type="http://schemas.openxmlformats.org/officeDocument/2006/relationships/customXml" Target="../customXml/item5.xml"/><Relationship Id="rId15" Type="http://schemas.openxmlformats.org/officeDocument/2006/relationships/hyperlink" Target="https://www.qcaa.qld.edu.au/senior/see" TargetMode="Externa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6.xml"/><Relationship Id="rId49" Type="http://schemas.openxmlformats.org/officeDocument/2006/relationships/header" Target="header25.xm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eader" Target="header11.xml"/><Relationship Id="rId44" Type="http://schemas.openxmlformats.org/officeDocument/2006/relationships/header" Target="header24.xml"/><Relationship Id="rId5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qcaa.qld.edu.au/senior/certificates-qualifications/sep"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image" Target="media/image5.jpg"/><Relationship Id="rId56" Type="http://schemas.openxmlformats.org/officeDocument/2006/relationships/glossaryDocument" Target="glossary/document.xml"/><Relationship Id="rId8" Type="http://schemas.openxmlformats.org/officeDocument/2006/relationships/styles" Target="styles.xml"/><Relationship Id="rId51" Type="http://schemas.openxmlformats.org/officeDocument/2006/relationships/footer" Target="footer5.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DB2D97FA374FEE91A51062617D407C"/>
        <w:category>
          <w:name w:val="General"/>
          <w:gallery w:val="placeholder"/>
        </w:category>
        <w:types>
          <w:type w:val="bbPlcHdr"/>
        </w:types>
        <w:behaviors>
          <w:behavior w:val="content"/>
        </w:behaviors>
        <w:guid w:val="{CBE1A663-1A98-4C8A-982D-A701D9FED889}"/>
      </w:docPartPr>
      <w:docPartBody>
        <w:p w:rsidR="00DC1AB2" w:rsidRDefault="00100A52" w:rsidP="00100A52">
          <w:pPr>
            <w:pStyle w:val="72DB2D97FA374FEE91A51062617D407C"/>
          </w:pPr>
          <w:r w:rsidRPr="0041386E">
            <w:rPr>
              <w:rStyle w:val="PlaceholderText"/>
              <w:shd w:val="clear" w:color="auto" w:fill="70AD47" w:themeFill="accent6"/>
            </w:rPr>
            <w:t>[Enter qualification code and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52"/>
    <w:rsid w:val="00100A52"/>
    <w:rsid w:val="001D3A67"/>
    <w:rsid w:val="004F5B83"/>
    <w:rsid w:val="007B7E9B"/>
    <w:rsid w:val="00891359"/>
    <w:rsid w:val="00DC1AB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00A52"/>
    <w:rPr>
      <w:color w:val="808080"/>
    </w:rPr>
  </w:style>
  <w:style w:type="paragraph" w:customStyle="1" w:styleId="72DB2D97FA374FEE91A51062617D407C">
    <w:name w:val="72DB2D97FA374FEE91A51062617D407C"/>
    <w:rsid w:val="00100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viewDate xmlns="b243b567-8784-429f-b4b1-0bfa99535235" xsi:nil="true"/>
    <PPSubmittedDate xmlns="b243b567-8784-429f-b4b1-0bfa99535235" xsi:nil="true"/>
    <PPReferenceNumber xmlns="b243b567-8784-429f-b4b1-0bfa99535235" xsi:nil="true"/>
    <PPContentAuthor xmlns="b243b567-8784-429f-b4b1-0bfa99535235">
      <UserInfo>
        <DisplayName/>
        <AccountId xsi:nil="true"/>
        <AccountType/>
      </UserInfo>
    </PPContentAuthor>
    <PPModeratedDate xmlns="b243b567-8784-429f-b4b1-0bfa99535235" xsi:nil="true"/>
    <PPPublishedNotificationAddresses xmlns="b243b567-8784-429f-b4b1-0bfa99535235" xsi:nil="true"/>
    <PPSubmittedBy xmlns="b243b567-8784-429f-b4b1-0bfa99535235">
      <UserInfo>
        <DisplayName/>
        <AccountId xsi:nil="true"/>
        <AccountType/>
      </UserInfo>
    </PPSubmittedBy>
    <PPLastReviewedBy xmlns="b243b567-8784-429f-b4b1-0bfa99535235">
      <UserInfo>
        <DisplayName/>
        <AccountId xsi:nil="true"/>
        <AccountType/>
      </UserInfo>
    </PPLastReviewedBy>
    <PPLastReviewedDate xmlns="b243b567-8784-429f-b4b1-0bfa99535235" xsi:nil="true"/>
    <PPContentOwner xmlns="b243b567-8784-429f-b4b1-0bfa99535235">
      <UserInfo>
        <DisplayName/>
        <AccountId xsi:nil="true"/>
        <AccountType/>
      </UserInfo>
    </PPContentOwner>
    <PPModeratedBy xmlns="b243b567-8784-429f-b4b1-0bfa99535235">
      <UserInfo>
        <DisplayName/>
        <AccountId xsi:nil="true"/>
        <AccountType/>
      </UserInfo>
    </PPModeratedBy>
    <PPContentApprover xmlns="b243b567-8784-429f-b4b1-0bfa99535235">
      <UserInfo>
        <DisplayName/>
        <AccountId xsi:nil="true"/>
        <AccountType/>
      </UserInfo>
    </PPContentApprover>
  </documentManagement>
</p:properties>
</file>

<file path=customXml/item3.xml><?xml version="1.0" encoding="utf-8"?>
<CoverPageProperties xmlns="http://schemas.microsoft.com/office/2006/coverPageProps">
  <PublishDate>2019-08-01T00:00:00</PublishDate>
  <Abstract/>
  <CompanyAddress>ICT20115 – CERTIFICATE II IN INFORMATION, COMMUNICATION AND DIGITAL MEDIA</CompanyAddress>
  <CompanyPhone/>
  <CompanyFax/>
  <CompanyEmail/>
</CoverPage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A7DDBCAF1059F4D936FB405BDABBC0C" ma:contentTypeVersion="14" ma:contentTypeDescription="Create a new document." ma:contentTypeScope="" ma:versionID="a2e36be22513ddeb1df2bd22b47b8787">
  <xsd:schema xmlns:xsd="http://www.w3.org/2001/XMLSchema" xmlns:xs="http://www.w3.org/2001/XMLSchema" xmlns:p="http://schemas.microsoft.com/office/2006/metadata/properties" xmlns:ns1="http://schemas.microsoft.com/sharepoint/v3" xmlns:ns2="b243b567-8784-429f-b4b1-0bfa99535235" targetNamespace="http://schemas.microsoft.com/office/2006/metadata/properties" ma:root="true" ma:fieldsID="ab7df329c7e49d04a43a5f931463ce64" ns1:_="" ns2:_="">
    <xsd:import namespace="http://schemas.microsoft.com/sharepoint/v3"/>
    <xsd:import namespace="b243b567-8784-429f-b4b1-0bfa9953523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43b567-8784-429f-b4b1-0bfa9953523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871D6-025A-4BB6-9AD5-8B374BFA8224}"/>
</file>

<file path=customXml/itemProps2.xml><?xml version="1.0" encoding="utf-8"?>
<ds:datastoreItem xmlns:ds="http://schemas.openxmlformats.org/officeDocument/2006/customXml" ds:itemID="{CEF62734-76FE-46C1-B526-1A0207C1A3F0}"/>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793D94B3-FABA-4E1E-B14F-6D1E722A4B5A}"/>
</file>

<file path=customXml/itemProps5.xml><?xml version="1.0" encoding="utf-8"?>
<ds:datastoreItem xmlns:ds="http://schemas.openxmlformats.org/officeDocument/2006/customXml" ds:itemID="{7A802BE1-D78F-44F6-8BE8-EA53D2D46A43}"/>
</file>

<file path=customXml/itemProps6.xml><?xml version="1.0" encoding="utf-8"?>
<ds:datastoreItem xmlns:ds="http://schemas.openxmlformats.org/officeDocument/2006/customXml" ds:itemID="{2997E119-A246-45A2-A32D-437073A686A6}"/>
</file>

<file path=docProps/app.xml><?xml version="1.0" encoding="utf-8"?>
<Properties xmlns="http://schemas.openxmlformats.org/officeDocument/2006/extended-properties" xmlns:vt="http://schemas.openxmlformats.org/officeDocument/2006/docPropsVTypes">
  <Template>Normal.dotm</Template>
  <TotalTime>1</TotalTime>
  <Pages>130</Pages>
  <Words>20999</Words>
  <Characters>131590</Characters>
  <Application>Microsoft Office Word</Application>
  <DocSecurity>4</DocSecurity>
  <Lines>1096</Lines>
  <Paragraphs>304</Paragraphs>
  <ScaleCrop>false</ScaleCrop>
  <HeadingPairs>
    <vt:vector size="2" baseType="variant">
      <vt:variant>
        <vt:lpstr>Title</vt:lpstr>
      </vt:variant>
      <vt:variant>
        <vt:i4>1</vt:i4>
      </vt:variant>
    </vt:vector>
  </HeadingPairs>
  <TitlesOfParts>
    <vt:vector size="1" baseType="lpstr">
      <vt:lpstr>Senior Subject Guide v1.1</vt:lpstr>
    </vt:vector>
  </TitlesOfParts>
  <Company>Queensland Curriculum and Assessment Authority</Company>
  <LinksUpToDate>false</LinksUpToDate>
  <CharactersWithSpaces>152285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Subject Guide v1.1</dc:title>
  <dc:subject>Pioneer State High School</dc:subject>
  <dc:creator>Queensland Curriculum and Assessment Authority</dc:creator>
  <cp:lastModifiedBy>JONES, Nichola</cp:lastModifiedBy>
  <cp:revision>2</cp:revision>
  <cp:lastPrinted>2019-08-08T22:50:00Z</cp:lastPrinted>
  <dcterms:created xsi:type="dcterms:W3CDTF">2019-08-18T22:01:00Z</dcterms:created>
  <dcterms:modified xsi:type="dcterms:W3CDTF">2019-08-18T22:01:00Z</dcterms:modified>
  <cp:category>172142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0x0101002A7DDBCAF1059F4D936FB405BDABBC0C</vt:lpwstr>
  </property>
  <property fmtid="{D5CDD505-2E9C-101B-9397-08002B2CF9AE}" pid="3" name="Order">
    <vt:r8>29900</vt:r8>
  </property>
</Properties>
</file>